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4CC" w:rsidRDefault="00FF3A92">
      <w:pPr>
        <w:jc w:val="center"/>
        <w:rPr>
          <w:rFonts w:asciiTheme="minorEastAsia" w:hAnsiTheme="minorEastAsia" w:cstheme="minorEastAsia"/>
          <w:b/>
          <w:sz w:val="32"/>
          <w:szCs w:val="32"/>
        </w:rPr>
      </w:pPr>
      <w:r>
        <w:rPr>
          <w:rFonts w:asciiTheme="minorEastAsia" w:hAnsiTheme="minorEastAsia" w:cstheme="minorEastAsia" w:hint="eastAsia"/>
          <w:b/>
          <w:sz w:val="32"/>
          <w:szCs w:val="32"/>
        </w:rPr>
        <w:t>厦门海发环保能源股份有限公司</w:t>
      </w:r>
    </w:p>
    <w:p w:rsidR="003B64CC" w:rsidRDefault="00FF3A92">
      <w:pPr>
        <w:jc w:val="center"/>
        <w:rPr>
          <w:rFonts w:asciiTheme="minorEastAsia" w:hAnsiTheme="minorEastAsia" w:cstheme="minorEastAsia"/>
          <w:sz w:val="32"/>
          <w:szCs w:val="32"/>
        </w:rPr>
      </w:pPr>
      <w:r>
        <w:rPr>
          <w:rFonts w:asciiTheme="minorEastAsia" w:hAnsiTheme="minorEastAsia" w:cstheme="minorEastAsia" w:hint="eastAsia"/>
          <w:b/>
          <w:sz w:val="32"/>
          <w:szCs w:val="32"/>
        </w:rPr>
        <w:t>新阳热电事业部9月份阀门类备件询价采购公告</w:t>
      </w:r>
    </w:p>
    <w:p w:rsidR="003B64CC" w:rsidRDefault="003B64CC">
      <w:pPr>
        <w:jc w:val="center"/>
        <w:rPr>
          <w:rFonts w:asciiTheme="minorEastAsia" w:hAnsiTheme="minorEastAsia" w:cstheme="minorEastAsia"/>
          <w:sz w:val="24"/>
          <w:szCs w:val="24"/>
        </w:rPr>
      </w:pPr>
    </w:p>
    <w:p w:rsidR="003B64CC" w:rsidRDefault="00FF3A9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厦门海发环保能源股份有限公司就</w:t>
      </w:r>
      <w:r>
        <w:rPr>
          <w:rFonts w:asciiTheme="minorEastAsia" w:hAnsiTheme="minorEastAsia" w:cstheme="minorEastAsia" w:hint="eastAsia"/>
          <w:sz w:val="28"/>
          <w:szCs w:val="28"/>
          <w:u w:val="single"/>
        </w:rPr>
        <w:t>新阳热电事业部9月份阀门类备件</w:t>
      </w:r>
      <w:r>
        <w:rPr>
          <w:rFonts w:asciiTheme="minorEastAsia" w:hAnsiTheme="minorEastAsia" w:cstheme="minorEastAsia" w:hint="eastAsia"/>
          <w:sz w:val="28"/>
          <w:szCs w:val="28"/>
        </w:rPr>
        <w:t>项目进行询价采购（公告邀请），邀请具备长期供应能力的供应商参与本采购项目报价。具体项目采购情况及要求如下：</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 项目概况</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1.1 项目名称：新阳热电事业部9月份阀门类备件</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1.2 项目地点：厦门海发环保能源股份有限公司新阳热电厂区</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 xml:space="preserve">1.3 资金来源：国有企业自筹资金                     </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1.4 采购内容：</w:t>
      </w:r>
    </w:p>
    <w:tbl>
      <w:tblPr>
        <w:tblW w:w="9130" w:type="dxa"/>
        <w:tblLayout w:type="fixed"/>
        <w:tblLook w:val="04A0" w:firstRow="1" w:lastRow="0" w:firstColumn="1" w:lastColumn="0" w:noHBand="0" w:noVBand="1"/>
      </w:tblPr>
      <w:tblGrid>
        <w:gridCol w:w="768"/>
        <w:gridCol w:w="1665"/>
        <w:gridCol w:w="3592"/>
        <w:gridCol w:w="765"/>
        <w:gridCol w:w="810"/>
        <w:gridCol w:w="1530"/>
      </w:tblGrid>
      <w:tr w:rsidR="003B64CC">
        <w:trPr>
          <w:trHeight w:val="480"/>
        </w:trPr>
        <w:tc>
          <w:tcPr>
            <w:tcW w:w="76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分项</w:t>
            </w:r>
          </w:p>
        </w:tc>
        <w:tc>
          <w:tcPr>
            <w:tcW w:w="1665" w:type="dxa"/>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采购品名</w:t>
            </w:r>
          </w:p>
        </w:tc>
        <w:tc>
          <w:tcPr>
            <w:tcW w:w="3592" w:type="dxa"/>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765" w:type="dxa"/>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810" w:type="dxa"/>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1530" w:type="dxa"/>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制造厂商</w:t>
            </w:r>
          </w:p>
        </w:tc>
      </w:tr>
      <w:tr w:rsidR="003B64CC">
        <w:trPr>
          <w:trHeight w:val="274"/>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665"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焊接式闸阀</w:t>
            </w:r>
          </w:p>
        </w:tc>
        <w:tc>
          <w:tcPr>
            <w:tcW w:w="3592"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Z61Y-100I ，PN10，DN150， ≥ 540℃  </w:t>
            </w:r>
          </w:p>
        </w:tc>
        <w:tc>
          <w:tcPr>
            <w:tcW w:w="7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30" w:type="dxa"/>
            <w:vMerge w:val="restart"/>
            <w:tcBorders>
              <w:top w:val="single" w:sz="4" w:space="0" w:color="auto"/>
              <w:left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哈电/</w:t>
            </w:r>
            <w:proofErr w:type="gramStart"/>
            <w:r>
              <w:rPr>
                <w:rFonts w:asciiTheme="minorEastAsia" w:hAnsiTheme="minorEastAsia" w:cstheme="minorEastAsia" w:hint="eastAsia"/>
                <w:sz w:val="24"/>
                <w:szCs w:val="24"/>
              </w:rPr>
              <w:t>上海亚核</w:t>
            </w:r>
            <w:proofErr w:type="gramEnd"/>
            <w:r>
              <w:rPr>
                <w:rFonts w:asciiTheme="minorEastAsia" w:hAnsiTheme="minorEastAsia" w:cstheme="minorEastAsia" w:hint="eastAsia"/>
                <w:sz w:val="24"/>
                <w:szCs w:val="24"/>
              </w:rPr>
              <w:t xml:space="preserve">/苏州高中压/上海双高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 xml:space="preserve">　</w:t>
            </w:r>
          </w:p>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 xml:space="preserve">　</w:t>
            </w:r>
          </w:p>
        </w:tc>
      </w:tr>
      <w:tr w:rsidR="003B64CC">
        <w:trPr>
          <w:trHeight w:val="274"/>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665"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焊接式闸阀</w:t>
            </w:r>
          </w:p>
        </w:tc>
        <w:tc>
          <w:tcPr>
            <w:tcW w:w="3592"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Z61Y-100I，PN10，DN200，≥ 540℃  </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30" w:type="dxa"/>
            <w:vMerge/>
            <w:tcBorders>
              <w:left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 w:val="24"/>
                <w:szCs w:val="24"/>
              </w:rPr>
            </w:pPr>
          </w:p>
        </w:tc>
      </w:tr>
      <w:tr w:rsidR="003B64CC">
        <w:trPr>
          <w:trHeight w:val="274"/>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3</w:t>
            </w:r>
          </w:p>
        </w:tc>
        <w:tc>
          <w:tcPr>
            <w:tcW w:w="1665"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焊接式闸阀</w:t>
            </w:r>
          </w:p>
        </w:tc>
        <w:tc>
          <w:tcPr>
            <w:tcW w:w="3592"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Z562Y-P54 100V，PN10，DN250，≥ 540℃  </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530" w:type="dxa"/>
            <w:vMerge/>
            <w:tcBorders>
              <w:left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 w:val="24"/>
                <w:szCs w:val="24"/>
              </w:rPr>
            </w:pPr>
          </w:p>
        </w:tc>
      </w:tr>
      <w:tr w:rsidR="003B64CC">
        <w:trPr>
          <w:trHeight w:val="274"/>
        </w:trPr>
        <w:tc>
          <w:tcPr>
            <w:tcW w:w="768" w:type="dxa"/>
            <w:tcBorders>
              <w:top w:val="nil"/>
              <w:left w:val="single" w:sz="4" w:space="0" w:color="auto"/>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4</w:t>
            </w:r>
          </w:p>
        </w:tc>
        <w:tc>
          <w:tcPr>
            <w:tcW w:w="1665" w:type="dxa"/>
            <w:tcBorders>
              <w:top w:val="nil"/>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焊接式电动闸阀（不含电动执行机构）</w:t>
            </w:r>
          </w:p>
        </w:tc>
        <w:tc>
          <w:tcPr>
            <w:tcW w:w="3592" w:type="dxa"/>
            <w:tcBorders>
              <w:top w:val="nil"/>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Z961Y-100I， PN10，DN200 ，≥ 540℃  </w:t>
            </w:r>
          </w:p>
        </w:tc>
        <w:tc>
          <w:tcPr>
            <w:tcW w:w="765" w:type="dxa"/>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1</w:t>
            </w:r>
          </w:p>
        </w:tc>
        <w:tc>
          <w:tcPr>
            <w:tcW w:w="1530" w:type="dxa"/>
            <w:vMerge/>
            <w:tcBorders>
              <w:left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 w:val="24"/>
                <w:szCs w:val="24"/>
              </w:rPr>
            </w:pPr>
          </w:p>
        </w:tc>
      </w:tr>
      <w:tr w:rsidR="003B64CC">
        <w:trPr>
          <w:trHeight w:val="274"/>
        </w:trPr>
        <w:tc>
          <w:tcPr>
            <w:tcW w:w="768" w:type="dxa"/>
            <w:tcBorders>
              <w:top w:val="nil"/>
              <w:left w:val="single" w:sz="4" w:space="0" w:color="auto"/>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5</w:t>
            </w:r>
          </w:p>
        </w:tc>
        <w:tc>
          <w:tcPr>
            <w:tcW w:w="1665" w:type="dxa"/>
            <w:tcBorders>
              <w:top w:val="nil"/>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手动闸阀</w:t>
            </w:r>
          </w:p>
        </w:tc>
        <w:tc>
          <w:tcPr>
            <w:tcW w:w="3592" w:type="dxa"/>
            <w:tcBorders>
              <w:top w:val="nil"/>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Z41Y-100I，PN10，DN150，≥ 540℃  </w:t>
            </w:r>
          </w:p>
        </w:tc>
        <w:tc>
          <w:tcPr>
            <w:tcW w:w="765" w:type="dxa"/>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30" w:type="dxa"/>
            <w:vMerge/>
            <w:tcBorders>
              <w:left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 w:val="24"/>
                <w:szCs w:val="24"/>
              </w:rPr>
            </w:pPr>
          </w:p>
        </w:tc>
      </w:tr>
      <w:tr w:rsidR="003B64CC">
        <w:trPr>
          <w:trHeight w:val="731"/>
        </w:trPr>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 w:val="24"/>
                <w:szCs w:val="24"/>
              </w:rPr>
            </w:pPr>
            <w:r>
              <w:rPr>
                <w:rFonts w:asciiTheme="minorEastAsia" w:hAnsiTheme="minorEastAsia" w:cstheme="minorEastAsia" w:hint="eastAsia"/>
                <w:sz w:val="24"/>
                <w:szCs w:val="24"/>
              </w:rPr>
              <w:t>6</w:t>
            </w:r>
          </w:p>
        </w:tc>
        <w:tc>
          <w:tcPr>
            <w:tcW w:w="1665"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电动截止阀（不含电动执行机构）</w:t>
            </w:r>
          </w:p>
        </w:tc>
        <w:tc>
          <w:tcPr>
            <w:tcW w:w="3592" w:type="dxa"/>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 xml:space="preserve">KJ941H-100C，PN10，DN50，≥ 425℃ </w:t>
            </w:r>
          </w:p>
        </w:tc>
        <w:tc>
          <w:tcPr>
            <w:tcW w:w="765"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台</w:t>
            </w:r>
          </w:p>
        </w:tc>
        <w:tc>
          <w:tcPr>
            <w:tcW w:w="810" w:type="dxa"/>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t>2</w:t>
            </w:r>
          </w:p>
        </w:tc>
        <w:tc>
          <w:tcPr>
            <w:tcW w:w="1530" w:type="dxa"/>
            <w:vMerge/>
            <w:tcBorders>
              <w:left w:val="single" w:sz="4" w:space="0" w:color="auto"/>
              <w:bottom w:val="single" w:sz="4" w:space="0" w:color="auto"/>
              <w:right w:val="single" w:sz="4" w:space="0" w:color="auto"/>
            </w:tcBorders>
            <w:shd w:val="clear" w:color="auto" w:fill="auto"/>
            <w:vAlign w:val="center"/>
          </w:tcPr>
          <w:p w:rsidR="003B64CC" w:rsidRDefault="003B64CC">
            <w:pPr>
              <w:widowControl/>
              <w:jc w:val="center"/>
              <w:rPr>
                <w:rFonts w:asciiTheme="minorEastAsia" w:hAnsiTheme="minorEastAsia" w:cstheme="minorEastAsia"/>
                <w:kern w:val="0"/>
                <w:sz w:val="24"/>
                <w:szCs w:val="24"/>
              </w:rPr>
            </w:pPr>
          </w:p>
        </w:tc>
      </w:tr>
    </w:tbl>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1.5 供货周期：合同签订生效后30日(非标件另行商议)</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2 报价</w:t>
      </w:r>
      <w:proofErr w:type="gramStart"/>
      <w:r>
        <w:rPr>
          <w:rFonts w:asciiTheme="minorEastAsia" w:hAnsiTheme="minorEastAsia" w:cstheme="minorEastAsia" w:hint="eastAsia"/>
          <w:sz w:val="28"/>
          <w:szCs w:val="28"/>
        </w:rPr>
        <w:t>方资格</w:t>
      </w:r>
      <w:proofErr w:type="gramEnd"/>
      <w:r>
        <w:rPr>
          <w:rFonts w:asciiTheme="minorEastAsia" w:hAnsiTheme="minorEastAsia" w:cstheme="minorEastAsia" w:hint="eastAsia"/>
          <w:sz w:val="28"/>
          <w:szCs w:val="28"/>
        </w:rPr>
        <w:t>要求</w:t>
      </w:r>
    </w:p>
    <w:p w:rsidR="003B64CC" w:rsidRDefault="00FF3A92">
      <w:pPr>
        <w:rPr>
          <w:rFonts w:asciiTheme="minorEastAsia" w:hAnsiTheme="minorEastAsia" w:cstheme="minorEastAsia"/>
          <w:b/>
          <w:bCs/>
          <w:sz w:val="28"/>
          <w:szCs w:val="28"/>
        </w:rPr>
      </w:pPr>
      <w:r>
        <w:rPr>
          <w:rFonts w:asciiTheme="minorEastAsia" w:hAnsiTheme="minorEastAsia" w:cstheme="minorEastAsia" w:hint="eastAsia"/>
          <w:b/>
          <w:bCs/>
          <w:sz w:val="28"/>
          <w:szCs w:val="28"/>
        </w:rPr>
        <w:t>*2.1 中华人民共和国境内注册的独立法人企业，提供有效期内的营业执照</w:t>
      </w:r>
      <w:r>
        <w:rPr>
          <w:rFonts w:asciiTheme="minorEastAsia" w:hAnsiTheme="minorEastAsia" w:cstheme="minorEastAsia" w:hint="eastAsia"/>
          <w:b/>
          <w:bCs/>
          <w:sz w:val="28"/>
          <w:szCs w:val="28"/>
        </w:rPr>
        <w:lastRenderedPageBreak/>
        <w:t>复印件并加盖公章。</w:t>
      </w:r>
    </w:p>
    <w:p w:rsidR="003B64CC" w:rsidRDefault="00FF3A92">
      <w:pPr>
        <w:rPr>
          <w:rFonts w:asciiTheme="minorEastAsia" w:hAnsiTheme="minorEastAsia" w:cstheme="minorEastAsia"/>
          <w:b/>
          <w:bCs/>
          <w:sz w:val="28"/>
          <w:szCs w:val="28"/>
        </w:rPr>
      </w:pPr>
      <w:r>
        <w:rPr>
          <w:rFonts w:asciiTheme="minorEastAsia" w:hAnsiTheme="minorEastAsia" w:cstheme="minorEastAsia" w:hint="eastAsia"/>
          <w:b/>
          <w:bCs/>
          <w:sz w:val="28"/>
          <w:szCs w:val="28"/>
        </w:rPr>
        <w:t>*2.2 报价方必须提供法定代表人身份证明书，若非企业法定代表人签字报价还需提交法人授权委托书（参照附件1、2格式提供）。</w:t>
      </w:r>
    </w:p>
    <w:p w:rsidR="003B64CC" w:rsidRDefault="00FF3A92">
      <w:pPr>
        <w:rPr>
          <w:rFonts w:asciiTheme="minorEastAsia" w:hAnsiTheme="minorEastAsia" w:cstheme="minorEastAsia"/>
          <w:b/>
          <w:bCs/>
          <w:sz w:val="28"/>
          <w:szCs w:val="28"/>
        </w:rPr>
      </w:pPr>
      <w:r>
        <w:rPr>
          <w:rFonts w:asciiTheme="minorEastAsia" w:hAnsiTheme="minorEastAsia" w:cstheme="minorEastAsia" w:hint="eastAsia"/>
          <w:b/>
          <w:bCs/>
          <w:sz w:val="28"/>
          <w:szCs w:val="28"/>
        </w:rPr>
        <w:t>*2.3 报价方是计划品牌范围制造商，提供相关制造许可证明材料，代理商提供代理授权书，原与我司合作过的供应商提供1份相关合同，</w:t>
      </w:r>
      <w:proofErr w:type="gramStart"/>
      <w:r>
        <w:rPr>
          <w:rFonts w:asciiTheme="minorEastAsia" w:hAnsiTheme="minorEastAsia" w:cstheme="minorEastAsia" w:hint="eastAsia"/>
          <w:b/>
          <w:bCs/>
          <w:sz w:val="28"/>
          <w:szCs w:val="28"/>
        </w:rPr>
        <w:t>未合作</w:t>
      </w:r>
      <w:proofErr w:type="gramEnd"/>
      <w:r>
        <w:rPr>
          <w:rFonts w:asciiTheme="minorEastAsia" w:hAnsiTheme="minorEastAsia" w:cstheme="minorEastAsia" w:hint="eastAsia"/>
          <w:b/>
          <w:bCs/>
          <w:sz w:val="28"/>
          <w:szCs w:val="28"/>
        </w:rPr>
        <w:t>过的供应商提供自2018年起3个以上不同热电厂或火力发电厂供货合同业绩。证明材料为复印件加盖报价方公章。适用本条款不受2.4条款限制。</w:t>
      </w:r>
    </w:p>
    <w:p w:rsidR="003B64CC" w:rsidRDefault="00FF3A92">
      <w:pPr>
        <w:rPr>
          <w:rFonts w:asciiTheme="minorEastAsia" w:hAnsiTheme="minorEastAsia" w:cstheme="minorEastAsia"/>
          <w:b/>
          <w:bCs/>
          <w:sz w:val="28"/>
          <w:szCs w:val="28"/>
        </w:rPr>
      </w:pPr>
      <w:r>
        <w:rPr>
          <w:rFonts w:asciiTheme="minorEastAsia" w:hAnsiTheme="minorEastAsia" w:cstheme="minorEastAsia" w:hint="eastAsia"/>
          <w:b/>
          <w:bCs/>
          <w:sz w:val="28"/>
          <w:szCs w:val="28"/>
        </w:rPr>
        <w:t>*2.4 报价方为计划品牌同质及以上制造商，提供相关制造许可证明材料，代理商提供代理授权书，并提供自2018年起5个以上不同热电厂或火力发电厂高压阀门（PN≧10Mpa)供货合同业绩，证明材料为复印件加盖报价方公章。适用本条款不受2.3条款限制。</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3 其他要求</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3.1 要求送货上门，供货时产品合格证或质量证明、说明书等必备资料齐全，（涉及特种设备还需提交制造商相关制造许可证）。如果物流或快递送货，丢失缺少损坏自理，采购方概不负责；成交供应商必须将货物送达指定地点并与采购方共同参与验收，否则由采购方单方验收，成交供应商须承认采购方验收结果。</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3.2 报价后无故放弃履行供货的供应商将纳入我司供应商黑名单，取消其参加本公司采购活动资格。</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3.3 报价方应保证所提供的产品为正规、合格原厂产品（有关技术要求详见附件4、阀门采购技术规范书），一经发现报价方提供假冒伪劣产品，将纳入公司供应商黑名单，不得参与本公司采购报价活动。</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lastRenderedPageBreak/>
        <w:t>4 投标报价要求</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4.1 项目投标报价单请按附件3格式要求报价，并单独加盖单位公章。</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4.2 报价文件需于2020年11月24日上午 10:00 （北京时间）之前提交到厦门市海</w:t>
      </w:r>
      <w:proofErr w:type="gramStart"/>
      <w:r>
        <w:rPr>
          <w:rFonts w:asciiTheme="minorEastAsia" w:hAnsiTheme="minorEastAsia" w:cstheme="minorEastAsia" w:hint="eastAsia"/>
          <w:sz w:val="28"/>
          <w:szCs w:val="28"/>
        </w:rPr>
        <w:t>沧</w:t>
      </w:r>
      <w:proofErr w:type="gramEnd"/>
      <w:r>
        <w:rPr>
          <w:rFonts w:asciiTheme="minorEastAsia" w:hAnsiTheme="minorEastAsia" w:cstheme="minorEastAsia" w:hint="eastAsia"/>
          <w:sz w:val="28"/>
          <w:szCs w:val="28"/>
        </w:rPr>
        <w:t>区阳光西路288号，厦门海发环保能源股份有限公司经营采购部。</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4.3采购方有权拒绝接收迟到的报价文件。</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4.4 报价文件需盖单位公章，所有报价文件装订成册并装入封袋密封，并在封口处盖章，密封袋上应标明报价项目名称、同时加盖公章。</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5 投标保证金及缴款注意事项：</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5.1供应商投标前须缴纳投标保证金人民币伍千元整（￥5000.00），若未中标，我司将在开标后10个工作日内无息退还该部分保证金。</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5.2不接受现场缴款，只能到银行以现金或转账方式缴款。</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5.3投标保证金收款单位：厦门海发环保能源股份有限公司</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账号：35101561001052501775</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开户行：中国建设银行厦门市分行厦禾支行</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注意：全部标的</w:t>
      </w:r>
      <w:proofErr w:type="gramStart"/>
      <w:r>
        <w:rPr>
          <w:rFonts w:asciiTheme="minorEastAsia" w:hAnsiTheme="minorEastAsia" w:cstheme="minorEastAsia" w:hint="eastAsia"/>
          <w:sz w:val="28"/>
          <w:szCs w:val="28"/>
        </w:rPr>
        <w:t>的</w:t>
      </w:r>
      <w:proofErr w:type="gramEnd"/>
      <w:r>
        <w:rPr>
          <w:rFonts w:asciiTheme="minorEastAsia" w:hAnsiTheme="minorEastAsia" w:cstheme="minorEastAsia" w:hint="eastAsia"/>
          <w:sz w:val="28"/>
          <w:szCs w:val="28"/>
        </w:rPr>
        <w:t>投标保证金均须存入或转入以上账号，其它收款单位均视为无效。</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5.4投标保证金缴交截止时间：2020年11月2</w:t>
      </w:r>
      <w:r w:rsidR="004225CB">
        <w:rPr>
          <w:rFonts w:asciiTheme="minorEastAsia" w:hAnsiTheme="minorEastAsia" w:cstheme="minorEastAsia" w:hint="eastAsia"/>
          <w:sz w:val="28"/>
          <w:szCs w:val="28"/>
        </w:rPr>
        <w:t>4</w:t>
      </w:r>
      <w:r>
        <w:rPr>
          <w:rFonts w:asciiTheme="minorEastAsia" w:hAnsiTheme="minorEastAsia" w:cstheme="minorEastAsia" w:hint="eastAsia"/>
          <w:sz w:val="28"/>
          <w:szCs w:val="28"/>
        </w:rPr>
        <w:t>日</w:t>
      </w:r>
      <w:r w:rsidR="004225CB">
        <w:rPr>
          <w:rFonts w:asciiTheme="minorEastAsia" w:hAnsiTheme="minorEastAsia" w:cstheme="minorEastAsia" w:hint="eastAsia"/>
          <w:sz w:val="28"/>
          <w:szCs w:val="28"/>
        </w:rPr>
        <w:t>上午10:00</w:t>
      </w:r>
      <w:r>
        <w:rPr>
          <w:rFonts w:asciiTheme="minorEastAsia" w:hAnsiTheme="minorEastAsia" w:cstheme="minorEastAsia" w:hint="eastAsia"/>
          <w:sz w:val="28"/>
          <w:szCs w:val="28"/>
        </w:rPr>
        <w:t>。</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6 开标时间和地点</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6.1 采购方将于2020年11月24日上午10:00（北京时间），在厦门市海</w:t>
      </w:r>
      <w:proofErr w:type="gramStart"/>
      <w:r>
        <w:rPr>
          <w:rFonts w:asciiTheme="minorEastAsia" w:hAnsiTheme="minorEastAsia" w:cstheme="minorEastAsia" w:hint="eastAsia"/>
          <w:sz w:val="28"/>
          <w:szCs w:val="28"/>
        </w:rPr>
        <w:t>沧</w:t>
      </w:r>
      <w:proofErr w:type="gramEnd"/>
      <w:r>
        <w:rPr>
          <w:rFonts w:asciiTheme="minorEastAsia" w:hAnsiTheme="minorEastAsia" w:cstheme="minorEastAsia" w:hint="eastAsia"/>
          <w:sz w:val="28"/>
          <w:szCs w:val="28"/>
        </w:rPr>
        <w:t>区阳光西路288号厦门海发环保能源股份有限公司二楼开标室开标。</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6.2开标</w:t>
      </w:r>
      <w:proofErr w:type="gramStart"/>
      <w:r>
        <w:rPr>
          <w:rFonts w:asciiTheme="minorEastAsia" w:hAnsiTheme="minorEastAsia" w:cstheme="minorEastAsia" w:hint="eastAsia"/>
          <w:sz w:val="28"/>
          <w:szCs w:val="28"/>
        </w:rPr>
        <w:t>时欢迎</w:t>
      </w:r>
      <w:proofErr w:type="gramEnd"/>
      <w:r>
        <w:rPr>
          <w:rFonts w:asciiTheme="minorEastAsia" w:hAnsiTheme="minorEastAsia" w:cstheme="minorEastAsia" w:hint="eastAsia"/>
          <w:sz w:val="28"/>
          <w:szCs w:val="28"/>
        </w:rPr>
        <w:t>所有报价方参加开标会议，报价方代表应签名以证明其出席</w:t>
      </w:r>
      <w:r>
        <w:rPr>
          <w:rFonts w:asciiTheme="minorEastAsia" w:hAnsiTheme="minorEastAsia" w:cstheme="minorEastAsia" w:hint="eastAsia"/>
          <w:sz w:val="28"/>
          <w:szCs w:val="28"/>
        </w:rPr>
        <w:lastRenderedPageBreak/>
        <w:t>开标会议，报价方因故不能派代表出席开标会议的，视为默认开标结果。</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7 评审原则</w:t>
      </w:r>
    </w:p>
    <w:p w:rsidR="003B64CC" w:rsidRDefault="00FF3A92">
      <w:pPr>
        <w:ind w:firstLineChars="200" w:firstLine="560"/>
        <w:rPr>
          <w:rFonts w:asciiTheme="minorEastAsia" w:hAnsiTheme="minorEastAsia" w:cstheme="minorEastAsia"/>
          <w:sz w:val="28"/>
          <w:szCs w:val="28"/>
        </w:rPr>
      </w:pPr>
      <w:r>
        <w:rPr>
          <w:rFonts w:asciiTheme="minorEastAsia" w:hAnsiTheme="minorEastAsia" w:cstheme="minorEastAsia" w:hint="eastAsia"/>
          <w:sz w:val="28"/>
          <w:szCs w:val="28"/>
        </w:rPr>
        <w:t>项目综合最低价成交法。报价方通过资格审查后，第一次开标必须满足3家及以上合格报价单位，全部符合采购文件实质性要求的报价单位，按项目综合报价进行比价，以项目综合报价最低倒序确定成交候选单位（本项目不进行二次询价）。</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8合同主要条款</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8.1质量要求、技术标准、供方对质量负责对条件和期限：以上配件及材料应严格按照需方标注的厂家品牌要求，产品必须是原厂家出厂并提供相应证明材料及出厂标准技术进行供货且符合需方使用等技术要求。</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8.2供方应确保产品为原厂制造、全新未使用过的产品，不存在任何缺陷。</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8.3交货时需提供产品出厂合格证、产品技术参数、产品出厂检测报告、制造厂家授权书或原厂家对该产品的证明函等。</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8.4如供方提供的产品有破损缺陷、产品的技术资料有错误，视为延迟交货交货，供方应在30个工作日内补齐材料。</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8.5质保期:自收到货物之日起一年内。质保期内，乙方应在甲方通知之日起3日内无偿修复，若乙方未履行质保义务的，甲方有权要求第三方进行维修，由此出生的费用和损失由乙方承担。</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8.6结算方式：货物到厂区后经需方核对检验合格，供方出具正规合法有效的13%增值税全额专用发票给需方，需方在书面核实无误后并在收到发票后15个工作日内支付相应款项。</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 xml:space="preserve">8.7供方须严格按照本合同约定的或者需方通知的时间和数量、 质量执行。 </w:t>
      </w:r>
      <w:r>
        <w:rPr>
          <w:rFonts w:asciiTheme="minorEastAsia" w:hAnsiTheme="minorEastAsia" w:cstheme="minorEastAsia" w:hint="eastAsia"/>
          <w:sz w:val="28"/>
          <w:szCs w:val="28"/>
        </w:rPr>
        <w:lastRenderedPageBreak/>
        <w:t>供方产品质量不符合合同规定的必须负责立即无偿修复或更换，费用由供方承担，供方还应承担合同总价款  10%  的违约金；逾期超30天未处理的需方还有权单方面解除合同，供方除应返还需方已支付的款项外，供方并应向需方支付合同总价款  10%  的违约金，违约金不足赔偿供方损失的，供方还应赔偿需方相关经济损失。</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8.8供方若延迟交货，须承担总价款每日千分之五的违约金。逾期五个工作日，需方有权单方解除合同，供方除应返还需方已支付的款项外，供方并应向需方支付合同总价款  10%  的违约金。</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8.9合同争议的解决方式：本合同在履行过程中发生的争议，由双方当事人协商解决，协商、调解不成的，可依法向需方所在地有管辖权的人民法院起诉。</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 xml:space="preserve">8.10 </w:t>
      </w:r>
      <w:r>
        <w:rPr>
          <w:rFonts w:hint="eastAsia"/>
          <w:sz w:val="28"/>
          <w:szCs w:val="28"/>
        </w:rPr>
        <w:t>合同自双方代表签字，并加盖公章或合同专用章及法定代表人的签章（或持有法定代表人开具的授权委托书或其他有效的授权证明，授权证明为合同附件）即合同生效。</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9 联系人</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江汉林（商务） 联系电话：0592-6807563</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徐新焕（技术） 联系电话：05</w:t>
      </w:r>
      <w:r w:rsidR="00ED01A5">
        <w:rPr>
          <w:rFonts w:asciiTheme="minorEastAsia" w:hAnsiTheme="minorEastAsia" w:cstheme="minorEastAsia" w:hint="eastAsia"/>
          <w:sz w:val="28"/>
          <w:szCs w:val="28"/>
        </w:rPr>
        <w:t>92</w:t>
      </w:r>
      <w:bookmarkStart w:id="0" w:name="_GoBack"/>
      <w:bookmarkEnd w:id="0"/>
      <w:r>
        <w:rPr>
          <w:rFonts w:asciiTheme="minorEastAsia" w:hAnsiTheme="minorEastAsia" w:cstheme="minorEastAsia" w:hint="eastAsia"/>
          <w:sz w:val="28"/>
          <w:szCs w:val="28"/>
        </w:rPr>
        <w:t>-6807513</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10 监督电话</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0592-6807528、6807512</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 xml:space="preserve"> </w:t>
      </w:r>
    </w:p>
    <w:p w:rsidR="003B64CC" w:rsidRDefault="00FF3A92">
      <w:pPr>
        <w:rPr>
          <w:rFonts w:asciiTheme="minorEastAsia" w:hAnsiTheme="minorEastAsia" w:cstheme="minorEastAsia"/>
          <w:sz w:val="28"/>
          <w:szCs w:val="28"/>
        </w:rPr>
      </w:pPr>
      <w:r>
        <w:rPr>
          <w:rFonts w:asciiTheme="minorEastAsia" w:hAnsiTheme="minorEastAsia" w:cstheme="minorEastAsia" w:hint="eastAsia"/>
          <w:sz w:val="28"/>
          <w:szCs w:val="28"/>
        </w:rPr>
        <w:t xml:space="preserve">                               厦门海发环保能源股份有限公司</w:t>
      </w:r>
    </w:p>
    <w:p w:rsidR="003B64CC" w:rsidRDefault="00FF3A92">
      <w:pPr>
        <w:ind w:firstLineChars="2000" w:firstLine="5600"/>
        <w:rPr>
          <w:rFonts w:asciiTheme="minorEastAsia" w:hAnsiTheme="minorEastAsia" w:cstheme="minorEastAsia"/>
          <w:sz w:val="28"/>
          <w:szCs w:val="28"/>
        </w:rPr>
      </w:pPr>
      <w:r>
        <w:rPr>
          <w:rFonts w:asciiTheme="minorEastAsia" w:hAnsiTheme="minorEastAsia" w:cstheme="minorEastAsia" w:hint="eastAsia"/>
          <w:sz w:val="28"/>
          <w:szCs w:val="28"/>
        </w:rPr>
        <w:t xml:space="preserve">2020 年 </w:t>
      </w:r>
      <w:r w:rsidR="00876613">
        <w:rPr>
          <w:rFonts w:asciiTheme="minorEastAsia" w:hAnsiTheme="minorEastAsia" w:cstheme="minorEastAsia" w:hint="eastAsia"/>
          <w:sz w:val="28"/>
          <w:szCs w:val="28"/>
        </w:rPr>
        <w:t>11</w:t>
      </w:r>
      <w:r>
        <w:rPr>
          <w:rFonts w:asciiTheme="minorEastAsia" w:hAnsiTheme="minorEastAsia" w:cstheme="minorEastAsia" w:hint="eastAsia"/>
          <w:sz w:val="28"/>
          <w:szCs w:val="28"/>
        </w:rPr>
        <w:t xml:space="preserve">月 </w:t>
      </w:r>
      <w:r w:rsidR="00876613">
        <w:rPr>
          <w:rFonts w:asciiTheme="minorEastAsia" w:hAnsiTheme="minorEastAsia" w:cstheme="minorEastAsia" w:hint="eastAsia"/>
          <w:sz w:val="28"/>
          <w:szCs w:val="28"/>
        </w:rPr>
        <w:t>16</w:t>
      </w:r>
      <w:r>
        <w:rPr>
          <w:rFonts w:asciiTheme="minorEastAsia" w:hAnsiTheme="minorEastAsia" w:cstheme="minorEastAsia" w:hint="eastAsia"/>
          <w:sz w:val="28"/>
          <w:szCs w:val="28"/>
        </w:rPr>
        <w:t xml:space="preserve"> 日</w:t>
      </w:r>
    </w:p>
    <w:p w:rsidR="003B64CC" w:rsidRDefault="00FF3A92">
      <w:pPr>
        <w:jc w:val="center"/>
        <w:rPr>
          <w:rFonts w:cs="宋体"/>
          <w:bCs/>
          <w:color w:val="000000"/>
          <w:sz w:val="24"/>
          <w:szCs w:val="24"/>
        </w:rPr>
      </w:pPr>
      <w:bookmarkStart w:id="1" w:name="_Toc515678551"/>
      <w:bookmarkStart w:id="2" w:name="_Toc66848109"/>
      <w:bookmarkStart w:id="3" w:name="_Toc515678520"/>
      <w:r>
        <w:rPr>
          <w:rFonts w:cs="宋体" w:hint="eastAsia"/>
          <w:bCs/>
          <w:color w:val="000000"/>
          <w:sz w:val="28"/>
          <w:szCs w:val="28"/>
        </w:rPr>
        <w:lastRenderedPageBreak/>
        <w:t>附件</w:t>
      </w:r>
      <w:r>
        <w:rPr>
          <w:rFonts w:cs="宋体" w:hint="eastAsia"/>
          <w:bCs/>
          <w:color w:val="000000"/>
          <w:sz w:val="28"/>
          <w:szCs w:val="28"/>
        </w:rPr>
        <w:t xml:space="preserve">1  </w:t>
      </w:r>
      <w:r>
        <w:rPr>
          <w:rFonts w:cs="宋体" w:hint="eastAsia"/>
          <w:bCs/>
          <w:color w:val="000000"/>
          <w:sz w:val="24"/>
          <w:szCs w:val="24"/>
        </w:rPr>
        <w:t>法定代表人证明书</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企业名称：</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企业性质：</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地   址：</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成立时间：</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经营期限：</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u w:val="single"/>
        </w:rPr>
      </w:pPr>
      <w:r>
        <w:rPr>
          <w:rFonts w:eastAsia="宋体" w:cs="宋体" w:hint="eastAsia"/>
          <w:b w:val="0"/>
          <w:bCs/>
          <w:color w:val="000000"/>
          <w:sz w:val="24"/>
          <w:szCs w:val="24"/>
        </w:rPr>
        <w:t>姓名：</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性别：</w:t>
      </w:r>
      <w:r>
        <w:rPr>
          <w:rFonts w:eastAsia="宋体" w:cs="宋体" w:hint="eastAsia"/>
          <w:b w:val="0"/>
          <w:bCs/>
          <w:color w:val="000000"/>
          <w:sz w:val="24"/>
          <w:szCs w:val="24"/>
          <w:u w:val="single"/>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年龄：</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职务：</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 xml:space="preserve"> </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系</w:t>
      </w:r>
      <w:r>
        <w:rPr>
          <w:rFonts w:eastAsia="宋体" w:cs="宋体" w:hint="eastAsia"/>
          <w:b w:val="0"/>
          <w:bCs/>
          <w:color w:val="000000"/>
          <w:sz w:val="24"/>
          <w:szCs w:val="24"/>
          <w:u w:val="single"/>
        </w:rPr>
        <w:t xml:space="preserve">                              </w:t>
      </w:r>
      <w:r>
        <w:rPr>
          <w:rFonts w:eastAsia="宋体" w:cs="宋体" w:hint="eastAsia"/>
          <w:b w:val="0"/>
          <w:bCs/>
          <w:color w:val="000000"/>
          <w:sz w:val="24"/>
          <w:szCs w:val="24"/>
        </w:rPr>
        <w:t>（报价单位全称）的法定代表人。</w:t>
      </w:r>
    </w:p>
    <w:p w:rsidR="003B64CC" w:rsidRDefault="00FF3A92" w:rsidP="000901EA">
      <w:pPr>
        <w:pStyle w:val="21"/>
        <w:keepNext w:val="0"/>
        <w:keepLines w:val="0"/>
        <w:kinsoku w:val="0"/>
        <w:overflowPunct w:val="0"/>
        <w:snapToGrid w:val="0"/>
        <w:spacing w:before="0" w:afterLines="50" w:after="156" w:line="520" w:lineRule="atLeast"/>
        <w:ind w:firstLineChars="200" w:firstLine="520"/>
        <w:jc w:val="both"/>
        <w:rPr>
          <w:rFonts w:eastAsia="宋体" w:cs="宋体"/>
          <w:b w:val="0"/>
          <w:bCs/>
          <w:color w:val="000000"/>
          <w:sz w:val="24"/>
          <w:szCs w:val="24"/>
        </w:rPr>
      </w:pPr>
      <w:r>
        <w:rPr>
          <w:rFonts w:eastAsia="宋体" w:cs="宋体" w:hint="eastAsia"/>
          <w:b w:val="0"/>
          <w:bCs/>
          <w:color w:val="000000"/>
          <w:sz w:val="24"/>
          <w:szCs w:val="24"/>
        </w:rPr>
        <w:t>特此证明！</w:t>
      </w: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3B64CC">
        <w:trPr>
          <w:trHeight w:val="3940"/>
        </w:trPr>
        <w:tc>
          <w:tcPr>
            <w:tcW w:w="2500" w:type="pct"/>
          </w:tcPr>
          <w:p w:rsidR="003B64CC" w:rsidRDefault="00FF3A92">
            <w:pPr>
              <w:spacing w:line="440" w:lineRule="exact"/>
              <w:rPr>
                <w:rFonts w:ascii="宋体" w:hAnsi="宋体"/>
                <w:color w:val="000000"/>
                <w:sz w:val="24"/>
                <w:szCs w:val="24"/>
              </w:rPr>
            </w:pPr>
            <w:r>
              <w:rPr>
                <w:rFonts w:ascii="宋体" w:hAnsi="宋体" w:hint="eastAsia"/>
                <w:color w:val="000000"/>
                <w:sz w:val="24"/>
                <w:szCs w:val="24"/>
              </w:rPr>
              <w:t>身份证复印件</w:t>
            </w:r>
          </w:p>
        </w:tc>
        <w:tc>
          <w:tcPr>
            <w:tcW w:w="2500" w:type="pct"/>
          </w:tcPr>
          <w:p w:rsidR="003B64CC" w:rsidRDefault="003B64CC">
            <w:pPr>
              <w:spacing w:line="440" w:lineRule="exact"/>
              <w:rPr>
                <w:rFonts w:ascii="宋体" w:hAnsi="宋体"/>
                <w:color w:val="000000"/>
                <w:sz w:val="24"/>
                <w:szCs w:val="24"/>
              </w:rPr>
            </w:pPr>
          </w:p>
        </w:tc>
      </w:tr>
    </w:tbl>
    <w:p w:rsidR="003B64CC" w:rsidRDefault="003B64CC">
      <w:pPr>
        <w:pStyle w:val="21"/>
        <w:keepNext w:val="0"/>
        <w:keepLines w:val="0"/>
        <w:autoSpaceDE w:val="0"/>
        <w:autoSpaceDN w:val="0"/>
        <w:snapToGrid w:val="0"/>
        <w:spacing w:before="0" w:after="0" w:line="240" w:lineRule="auto"/>
        <w:rPr>
          <w:rFonts w:eastAsia="宋体" w:cs="宋体"/>
          <w:b w:val="0"/>
          <w:bCs/>
          <w:color w:val="000000"/>
          <w:sz w:val="28"/>
          <w:szCs w:val="28"/>
        </w:rPr>
      </w:pPr>
    </w:p>
    <w:p w:rsidR="003B64CC" w:rsidRDefault="00FF3A92">
      <w:pPr>
        <w:kinsoku w:val="0"/>
        <w:overflowPunct w:val="0"/>
        <w:snapToGrid w:val="0"/>
        <w:spacing w:line="520" w:lineRule="exact"/>
        <w:ind w:firstLineChars="1500" w:firstLine="3600"/>
        <w:jc w:val="left"/>
        <w:rPr>
          <w:rFonts w:ascii="宋体" w:hAnsi="宋体"/>
          <w:bCs/>
          <w:color w:val="000000"/>
          <w:sz w:val="24"/>
          <w:szCs w:val="24"/>
        </w:rPr>
      </w:pPr>
      <w:r>
        <w:rPr>
          <w:rFonts w:ascii="宋体" w:hAnsi="宋体" w:hint="eastAsia"/>
          <w:bCs/>
          <w:color w:val="000000"/>
          <w:sz w:val="24"/>
          <w:szCs w:val="24"/>
        </w:rPr>
        <w:t>报价单位（盖公章）：</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3B64CC" w:rsidRDefault="003B64CC">
      <w:pPr>
        <w:pStyle w:val="21"/>
        <w:keepNext w:val="0"/>
        <w:keepLines w:val="0"/>
        <w:kinsoku w:val="0"/>
        <w:overflowPunct w:val="0"/>
        <w:snapToGrid w:val="0"/>
        <w:spacing w:before="0" w:after="0" w:line="240" w:lineRule="auto"/>
        <w:jc w:val="both"/>
        <w:rPr>
          <w:rFonts w:eastAsia="宋体" w:cs="宋体"/>
          <w:b w:val="0"/>
          <w:bCs/>
          <w:color w:val="000000"/>
          <w:sz w:val="24"/>
          <w:szCs w:val="24"/>
        </w:rPr>
      </w:pPr>
    </w:p>
    <w:p w:rsidR="003B64CC" w:rsidRDefault="00FF3A92">
      <w:pPr>
        <w:kinsoku w:val="0"/>
        <w:overflowPunct w:val="0"/>
        <w:snapToGrid w:val="0"/>
        <w:spacing w:line="520" w:lineRule="exact"/>
        <w:ind w:firstLineChars="2300" w:firstLine="5520"/>
        <w:jc w:val="left"/>
        <w:rPr>
          <w:rFonts w:ascii="宋体" w:hAnsi="宋体"/>
          <w:bCs/>
          <w:color w:val="000000"/>
          <w:sz w:val="24"/>
          <w:szCs w:val="24"/>
        </w:rPr>
      </w:pPr>
      <w:r>
        <w:rPr>
          <w:rFonts w:ascii="宋体" w:hAnsi="宋体" w:hint="eastAsia"/>
          <w:bCs/>
          <w:color w:val="000000"/>
          <w:sz w:val="24"/>
          <w:szCs w:val="24"/>
        </w:rPr>
        <w:t>日期：</w:t>
      </w:r>
      <w:r>
        <w:rPr>
          <w:rFonts w:ascii="宋体" w:hAnsi="宋体"/>
          <w:bCs/>
          <w:color w:val="000000"/>
          <w:sz w:val="24"/>
          <w:szCs w:val="24"/>
          <w:u w:val="single"/>
        </w:rPr>
        <w:t xml:space="preserve">             </w:t>
      </w:r>
      <w:r>
        <w:rPr>
          <w:rFonts w:ascii="宋体" w:hAnsi="宋体" w:hint="eastAsia"/>
          <w:bCs/>
          <w:color w:val="000000"/>
          <w:sz w:val="24"/>
          <w:szCs w:val="24"/>
          <w:u w:val="single"/>
        </w:rPr>
        <w:t xml:space="preserve">        </w:t>
      </w:r>
      <w:r>
        <w:rPr>
          <w:rFonts w:ascii="宋体" w:hAnsi="宋体"/>
          <w:bCs/>
          <w:color w:val="000000"/>
          <w:sz w:val="24"/>
          <w:szCs w:val="24"/>
          <w:u w:val="single"/>
        </w:rPr>
        <w:t xml:space="preserve">  </w:t>
      </w:r>
    </w:p>
    <w:p w:rsidR="003B64CC" w:rsidRDefault="00FF3A92">
      <w:pPr>
        <w:pStyle w:val="21"/>
        <w:keepNext w:val="0"/>
        <w:keepLines w:val="0"/>
        <w:kinsoku w:val="0"/>
        <w:overflowPunct w:val="0"/>
        <w:snapToGrid w:val="0"/>
        <w:spacing w:before="0" w:after="0" w:line="240" w:lineRule="auto"/>
        <w:jc w:val="both"/>
        <w:rPr>
          <w:rFonts w:eastAsia="宋体" w:cs="宋体"/>
          <w:b w:val="0"/>
          <w:bCs/>
          <w:color w:val="000000"/>
          <w:sz w:val="24"/>
          <w:szCs w:val="24"/>
        </w:rPr>
      </w:pPr>
      <w:r>
        <w:rPr>
          <w:rFonts w:eastAsia="宋体" w:cs="宋体" w:hint="eastAsia"/>
          <w:b w:val="0"/>
          <w:bCs/>
          <w:color w:val="000000"/>
          <w:sz w:val="24"/>
          <w:szCs w:val="24"/>
        </w:rPr>
        <w:t>备注：法定代表人身份证正反面复印件可单独一页，但需加盖企业公章。</w:t>
      </w:r>
    </w:p>
    <w:p w:rsidR="003B64CC" w:rsidRDefault="003B64CC">
      <w:pPr>
        <w:pStyle w:val="21"/>
        <w:keepNext w:val="0"/>
        <w:keepLines w:val="0"/>
        <w:kinsoku w:val="0"/>
        <w:overflowPunct w:val="0"/>
        <w:snapToGrid w:val="0"/>
        <w:spacing w:before="0" w:after="0" w:line="240" w:lineRule="auto"/>
        <w:rPr>
          <w:rFonts w:eastAsia="宋体" w:cs="宋体"/>
          <w:b w:val="0"/>
          <w:bCs/>
          <w:color w:val="000000"/>
          <w:sz w:val="28"/>
          <w:szCs w:val="28"/>
        </w:rPr>
      </w:pPr>
    </w:p>
    <w:p w:rsidR="003B64CC" w:rsidRDefault="00FF3A92">
      <w:pPr>
        <w:pStyle w:val="21"/>
        <w:keepNext w:val="0"/>
        <w:keepLines w:val="0"/>
        <w:kinsoku w:val="0"/>
        <w:overflowPunct w:val="0"/>
        <w:snapToGrid w:val="0"/>
        <w:spacing w:before="0" w:after="0" w:line="240" w:lineRule="auto"/>
        <w:rPr>
          <w:rFonts w:eastAsia="宋体" w:cs="宋体"/>
          <w:color w:val="000000"/>
          <w:sz w:val="28"/>
          <w:szCs w:val="28"/>
        </w:rPr>
      </w:pPr>
      <w:r>
        <w:rPr>
          <w:rFonts w:eastAsia="宋体" w:cs="宋体" w:hint="eastAsia"/>
          <w:b w:val="0"/>
          <w:bCs/>
          <w:color w:val="000000"/>
          <w:sz w:val="28"/>
          <w:szCs w:val="28"/>
        </w:rPr>
        <w:lastRenderedPageBreak/>
        <w:t>附件2 法人授权委托书</w:t>
      </w:r>
    </w:p>
    <w:p w:rsidR="003B64CC" w:rsidRDefault="00FF3A92">
      <w:pPr>
        <w:kinsoku w:val="0"/>
        <w:overflowPunct w:val="0"/>
        <w:snapToGrid w:val="0"/>
        <w:spacing w:line="520" w:lineRule="exact"/>
        <w:ind w:firstLine="630"/>
        <w:jc w:val="left"/>
        <w:rPr>
          <w:rFonts w:ascii="宋体" w:hAnsi="宋体" w:cs="宋体"/>
          <w:color w:val="000000"/>
          <w:sz w:val="24"/>
          <w:szCs w:val="32"/>
        </w:rPr>
      </w:pPr>
      <w:r>
        <w:rPr>
          <w:rFonts w:ascii="宋体" w:hAnsi="宋体" w:cs="宋体" w:hint="eastAsia"/>
          <w:color w:val="000000"/>
          <w:sz w:val="24"/>
          <w:szCs w:val="32"/>
        </w:rPr>
        <w:t>授权声明：</w:t>
      </w:r>
      <w:r>
        <w:rPr>
          <w:rFonts w:ascii="宋体" w:hAnsi="宋体" w:cs="宋体" w:hint="eastAsia"/>
          <w:color w:val="000000"/>
          <w:sz w:val="24"/>
          <w:szCs w:val="32"/>
          <w:u w:val="single"/>
        </w:rPr>
        <w:t xml:space="preserve"> </w:t>
      </w:r>
      <w:r>
        <w:rPr>
          <w:rFonts w:hint="eastAsia"/>
          <w:color w:val="000000"/>
          <w:sz w:val="24"/>
          <w:szCs w:val="24"/>
          <w:u w:val="single"/>
        </w:rPr>
        <w:t>（报价单位名称）</w:t>
      </w:r>
      <w:r>
        <w:rPr>
          <w:rFonts w:hint="eastAsia"/>
          <w:color w:val="000000"/>
          <w:sz w:val="24"/>
          <w:szCs w:val="24"/>
          <w:u w:val="single"/>
        </w:rPr>
        <w:t xml:space="preserve"> </w:t>
      </w:r>
      <w:r>
        <w:rPr>
          <w:rFonts w:hint="eastAsia"/>
          <w:color w:val="000000"/>
          <w:sz w:val="24"/>
          <w:szCs w:val="24"/>
        </w:rPr>
        <w:t>授权</w:t>
      </w:r>
      <w:r>
        <w:rPr>
          <w:rFonts w:hint="eastAsia"/>
          <w:color w:val="000000"/>
          <w:sz w:val="24"/>
          <w:szCs w:val="24"/>
          <w:u w:val="single"/>
        </w:rPr>
        <w:t xml:space="preserve"> </w:t>
      </w:r>
      <w:r>
        <w:rPr>
          <w:rFonts w:hint="eastAsia"/>
          <w:color w:val="000000"/>
          <w:sz w:val="24"/>
          <w:szCs w:val="24"/>
          <w:u w:val="single"/>
        </w:rPr>
        <w:t>（授权代理人）</w:t>
      </w:r>
      <w:r>
        <w:rPr>
          <w:rFonts w:hint="eastAsia"/>
          <w:color w:val="000000"/>
          <w:sz w:val="24"/>
          <w:szCs w:val="24"/>
          <w:u w:val="single"/>
        </w:rPr>
        <w:t xml:space="preserve"> </w:t>
      </w:r>
      <w:r>
        <w:rPr>
          <w:rFonts w:hint="eastAsia"/>
          <w:color w:val="000000"/>
          <w:sz w:val="24"/>
          <w:szCs w:val="24"/>
        </w:rPr>
        <w:t>为我公司的代理人，以本公司的名义负责</w:t>
      </w:r>
      <w:r>
        <w:rPr>
          <w:rFonts w:hint="eastAsia"/>
          <w:bCs/>
          <w:color w:val="000000"/>
          <w:sz w:val="24"/>
          <w:szCs w:val="32"/>
        </w:rPr>
        <w:t>参与</w:t>
      </w:r>
      <w:r>
        <w:rPr>
          <w:rFonts w:ascii="宋体" w:hAnsi="宋体" w:cs="宋体" w:hint="eastAsia"/>
          <w:color w:val="000000"/>
          <w:sz w:val="24"/>
          <w:szCs w:val="24"/>
          <w:u w:val="single"/>
        </w:rPr>
        <w:t xml:space="preserve"> 新阳热电事业部9月份阀门类备件</w:t>
      </w:r>
      <w:r>
        <w:rPr>
          <w:rFonts w:ascii="宋体" w:eastAsia="宋体" w:hAnsi="宋体" w:cs="宋体" w:hint="eastAsia"/>
          <w:bCs/>
          <w:color w:val="000000"/>
          <w:sz w:val="24"/>
          <w:szCs w:val="24"/>
          <w:u w:val="single"/>
        </w:rPr>
        <w:t>项目</w:t>
      </w:r>
      <w:r>
        <w:rPr>
          <w:rFonts w:ascii="宋体" w:hAnsi="宋体" w:cs="宋体" w:hint="eastAsia"/>
          <w:color w:val="000000"/>
          <w:sz w:val="24"/>
          <w:szCs w:val="24"/>
          <w:u w:val="single"/>
        </w:rPr>
        <w:t xml:space="preserve"> </w:t>
      </w:r>
      <w:r>
        <w:rPr>
          <w:rFonts w:hint="eastAsia"/>
          <w:bCs/>
          <w:color w:val="000000"/>
          <w:sz w:val="24"/>
          <w:szCs w:val="32"/>
        </w:rPr>
        <w:t>的报价，该代理人在报价及后续的合同执行过程中，所签署的一切文件及所处理的与我公司有关的一切事务，我公司均予以承认。</w:t>
      </w:r>
      <w:r>
        <w:rPr>
          <w:rFonts w:ascii="宋体" w:hAnsi="宋体" w:hint="eastAsia"/>
          <w:bCs/>
          <w:color w:val="000000"/>
          <w:sz w:val="24"/>
        </w:rPr>
        <w:t>本授权书于</w:t>
      </w:r>
      <w:r>
        <w:rPr>
          <w:rFonts w:ascii="宋体" w:hAnsi="宋体"/>
          <w:bCs/>
          <w:color w:val="000000"/>
          <w:sz w:val="24"/>
          <w:u w:val="single"/>
        </w:rPr>
        <w:t xml:space="preserve">      </w:t>
      </w:r>
      <w:r>
        <w:rPr>
          <w:rFonts w:ascii="宋体" w:hAnsi="宋体" w:hint="eastAsia"/>
          <w:bCs/>
          <w:color w:val="000000"/>
          <w:sz w:val="24"/>
        </w:rPr>
        <w:t>年</w:t>
      </w:r>
      <w:r>
        <w:rPr>
          <w:rFonts w:ascii="宋体" w:hAnsi="宋体"/>
          <w:bCs/>
          <w:color w:val="000000"/>
          <w:sz w:val="24"/>
          <w:u w:val="single"/>
        </w:rPr>
        <w:t xml:space="preserve">     </w:t>
      </w:r>
      <w:r>
        <w:rPr>
          <w:rFonts w:ascii="宋体" w:hAnsi="宋体" w:hint="eastAsia"/>
          <w:bCs/>
          <w:color w:val="000000"/>
          <w:sz w:val="24"/>
        </w:rPr>
        <w:t>月</w:t>
      </w:r>
      <w:r>
        <w:rPr>
          <w:rFonts w:ascii="宋体" w:hAnsi="宋体"/>
          <w:bCs/>
          <w:color w:val="000000"/>
          <w:sz w:val="24"/>
          <w:u w:val="single"/>
        </w:rPr>
        <w:t xml:space="preserve">      </w:t>
      </w:r>
      <w:r>
        <w:rPr>
          <w:rFonts w:ascii="宋体" w:hAnsi="宋体" w:hint="eastAsia"/>
          <w:bCs/>
          <w:color w:val="000000"/>
          <w:sz w:val="24"/>
        </w:rPr>
        <w:t>日签字之日起生效，特此声明。</w:t>
      </w:r>
    </w:p>
    <w:p w:rsidR="003B64CC" w:rsidRDefault="00FF3A92">
      <w:pPr>
        <w:kinsoku w:val="0"/>
        <w:overflowPunct w:val="0"/>
        <w:snapToGrid w:val="0"/>
        <w:spacing w:line="520" w:lineRule="exact"/>
        <w:ind w:firstLineChars="200" w:firstLine="480"/>
        <w:jc w:val="left"/>
        <w:rPr>
          <w:rFonts w:ascii="宋体" w:hAnsi="宋体" w:cs="宋体"/>
          <w:color w:val="000000"/>
          <w:sz w:val="24"/>
          <w:szCs w:val="32"/>
        </w:rPr>
      </w:pPr>
      <w:r>
        <w:rPr>
          <w:rFonts w:ascii="宋体" w:hAnsi="宋体" w:cs="宋体" w:hint="eastAsia"/>
          <w:color w:val="000000"/>
          <w:sz w:val="24"/>
          <w:szCs w:val="32"/>
        </w:rPr>
        <w:t>代理人无转委托权，特此委托。</w:t>
      </w:r>
    </w:p>
    <w:p w:rsidR="003B64CC" w:rsidRDefault="003B64CC">
      <w:pPr>
        <w:kinsoku w:val="0"/>
        <w:overflowPunct w:val="0"/>
        <w:snapToGrid w:val="0"/>
        <w:spacing w:line="520" w:lineRule="exact"/>
        <w:ind w:firstLineChars="200" w:firstLine="480"/>
        <w:jc w:val="left"/>
        <w:rPr>
          <w:rFonts w:ascii="宋体" w:hAnsi="宋体" w:cs="宋体"/>
          <w:color w:val="000000"/>
          <w:sz w:val="24"/>
          <w:szCs w:val="32"/>
        </w:rPr>
      </w:pPr>
    </w:p>
    <w:p w:rsidR="003B64CC" w:rsidRDefault="00FF3A92" w:rsidP="000901EA">
      <w:pPr>
        <w:pStyle w:val="21"/>
        <w:keepNext w:val="0"/>
        <w:keepLines w:val="0"/>
        <w:kinsoku w:val="0"/>
        <w:overflowPunct w:val="0"/>
        <w:snapToGrid w:val="0"/>
        <w:spacing w:before="0" w:afterLines="50" w:after="156" w:line="520" w:lineRule="atLeast"/>
        <w:jc w:val="both"/>
        <w:rPr>
          <w:rFonts w:eastAsia="宋体" w:cs="宋体"/>
          <w:b w:val="0"/>
          <w:bCs/>
          <w:color w:val="000000"/>
          <w:sz w:val="24"/>
          <w:szCs w:val="24"/>
        </w:rPr>
      </w:pPr>
      <w:r>
        <w:rPr>
          <w:rFonts w:eastAsia="宋体" w:cs="宋体" w:hint="eastAsia"/>
          <w:b w:val="0"/>
          <w:bCs/>
          <w:color w:val="000000"/>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27"/>
      </w:tblGrid>
      <w:tr w:rsidR="003B64CC">
        <w:trPr>
          <w:trHeight w:val="3940"/>
        </w:trPr>
        <w:tc>
          <w:tcPr>
            <w:tcW w:w="2500" w:type="pct"/>
          </w:tcPr>
          <w:p w:rsidR="003B64CC" w:rsidRDefault="00FF3A92">
            <w:pPr>
              <w:spacing w:line="440" w:lineRule="exact"/>
              <w:rPr>
                <w:rFonts w:ascii="宋体" w:hAnsi="宋体"/>
                <w:color w:val="000000"/>
                <w:sz w:val="24"/>
                <w:szCs w:val="24"/>
              </w:rPr>
            </w:pPr>
            <w:r>
              <w:rPr>
                <w:rFonts w:ascii="宋体" w:hAnsi="宋体" w:hint="eastAsia"/>
                <w:color w:val="000000"/>
                <w:sz w:val="24"/>
                <w:szCs w:val="24"/>
              </w:rPr>
              <w:t>身份证复印件</w:t>
            </w:r>
          </w:p>
        </w:tc>
        <w:tc>
          <w:tcPr>
            <w:tcW w:w="2500" w:type="pct"/>
          </w:tcPr>
          <w:p w:rsidR="003B64CC" w:rsidRDefault="003B64CC">
            <w:pPr>
              <w:spacing w:line="440" w:lineRule="exact"/>
              <w:rPr>
                <w:rFonts w:ascii="宋体" w:hAnsi="宋体"/>
                <w:color w:val="000000"/>
                <w:sz w:val="24"/>
                <w:szCs w:val="24"/>
              </w:rPr>
            </w:pPr>
          </w:p>
        </w:tc>
      </w:tr>
    </w:tbl>
    <w:p w:rsidR="003B64CC" w:rsidRDefault="003B64CC">
      <w:pPr>
        <w:spacing w:line="440" w:lineRule="exact"/>
        <w:ind w:firstLine="420"/>
        <w:rPr>
          <w:rFonts w:ascii="宋体" w:hAnsi="宋体"/>
          <w:color w:val="000000"/>
          <w:szCs w:val="21"/>
        </w:rPr>
      </w:pPr>
    </w:p>
    <w:p w:rsidR="003B64CC" w:rsidRDefault="00FF3A92">
      <w:pPr>
        <w:kinsoku w:val="0"/>
        <w:overflowPunct w:val="0"/>
        <w:snapToGrid w:val="0"/>
        <w:spacing w:line="520" w:lineRule="exact"/>
        <w:ind w:firstLineChars="1500" w:firstLine="3600"/>
        <w:jc w:val="left"/>
        <w:rPr>
          <w:rFonts w:ascii="宋体" w:hAnsi="宋体"/>
          <w:bCs/>
          <w:color w:val="000000"/>
          <w:sz w:val="24"/>
        </w:rPr>
      </w:pPr>
      <w:r>
        <w:rPr>
          <w:rFonts w:ascii="宋体" w:hAnsi="宋体" w:hint="eastAsia"/>
          <w:bCs/>
          <w:color w:val="000000"/>
          <w:sz w:val="24"/>
        </w:rPr>
        <w:t>报价单位（公章）：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3B64CC" w:rsidRDefault="00FF3A92">
      <w:pPr>
        <w:kinsoku w:val="0"/>
        <w:overflowPunct w:val="0"/>
        <w:snapToGrid w:val="0"/>
        <w:spacing w:line="520" w:lineRule="exact"/>
        <w:ind w:firstLineChars="1500" w:firstLine="3600"/>
        <w:jc w:val="left"/>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FF3A92">
      <w:pPr>
        <w:pStyle w:val="21"/>
        <w:keepNext w:val="0"/>
        <w:keepLines w:val="0"/>
        <w:kinsoku w:val="0"/>
        <w:overflowPunct w:val="0"/>
        <w:snapToGrid w:val="0"/>
        <w:spacing w:before="0" w:after="0" w:line="440" w:lineRule="exact"/>
        <w:jc w:val="both"/>
        <w:rPr>
          <w:rFonts w:eastAsia="宋体" w:cs="宋体"/>
          <w:b w:val="0"/>
          <w:bCs/>
          <w:color w:val="000000"/>
          <w:sz w:val="24"/>
          <w:szCs w:val="24"/>
        </w:rPr>
      </w:pPr>
      <w:r>
        <w:rPr>
          <w:rFonts w:eastAsia="宋体" w:cs="宋体" w:hint="eastAsia"/>
          <w:b w:val="0"/>
          <w:bCs/>
          <w:color w:val="000000"/>
          <w:sz w:val="24"/>
          <w:szCs w:val="24"/>
        </w:rPr>
        <w:t>备注：1、报价方为企业法定代表人，则本附件不需要提供。</w:t>
      </w:r>
    </w:p>
    <w:p w:rsidR="003B64CC" w:rsidRDefault="00FF3A92">
      <w:pPr>
        <w:pStyle w:val="21"/>
        <w:keepNext w:val="0"/>
        <w:keepLines w:val="0"/>
        <w:numPr>
          <w:ilvl w:val="0"/>
          <w:numId w:val="1"/>
        </w:numPr>
        <w:kinsoku w:val="0"/>
        <w:overflowPunct w:val="0"/>
        <w:snapToGrid w:val="0"/>
        <w:spacing w:before="0" w:after="0" w:line="440" w:lineRule="exact"/>
        <w:jc w:val="both"/>
        <w:rPr>
          <w:rFonts w:eastAsia="宋体" w:cs="宋体"/>
          <w:b w:val="0"/>
          <w:bCs/>
          <w:color w:val="000000"/>
          <w:sz w:val="24"/>
          <w:szCs w:val="24"/>
        </w:rPr>
      </w:pPr>
      <w:r>
        <w:rPr>
          <w:rFonts w:eastAsia="宋体" w:cs="宋体" w:hint="eastAsia"/>
          <w:b w:val="0"/>
          <w:bCs/>
          <w:color w:val="000000"/>
          <w:sz w:val="24"/>
          <w:szCs w:val="24"/>
        </w:rPr>
        <w:t>授权代理人身份证正反面复印件可单独一页，但需加盖企业公章。</w:t>
      </w: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3B64CC">
      <w:pPr>
        <w:kinsoku w:val="0"/>
        <w:overflowPunct w:val="0"/>
        <w:spacing w:line="400" w:lineRule="atLeast"/>
        <w:rPr>
          <w:rFonts w:ascii="宋体" w:hAnsi="宋体" w:cs="宋体"/>
          <w:color w:val="000000"/>
          <w:spacing w:val="-4"/>
          <w:sz w:val="24"/>
          <w:szCs w:val="24"/>
        </w:rPr>
      </w:pPr>
    </w:p>
    <w:p w:rsidR="003B64CC" w:rsidRDefault="00FF3A92">
      <w:pPr>
        <w:jc w:val="center"/>
        <w:rPr>
          <w:rFonts w:asciiTheme="minorEastAsia" w:hAnsiTheme="minorEastAsia" w:cstheme="minorEastAsia"/>
          <w:sz w:val="24"/>
          <w:szCs w:val="24"/>
        </w:rPr>
      </w:pPr>
      <w:r>
        <w:rPr>
          <w:rFonts w:asciiTheme="minorEastAsia" w:hAnsiTheme="minorEastAsia" w:cstheme="minorEastAsia" w:hint="eastAsia"/>
          <w:sz w:val="24"/>
          <w:szCs w:val="24"/>
        </w:rPr>
        <w:lastRenderedPageBreak/>
        <w:t>附件3、报价表</w:t>
      </w:r>
    </w:p>
    <w:tbl>
      <w:tblPr>
        <w:tblpPr w:leftFromText="180" w:rightFromText="180" w:vertAnchor="text" w:horzAnchor="page" w:tblpX="1126" w:tblpY="684"/>
        <w:tblOverlap w:val="never"/>
        <w:tblW w:w="5000" w:type="pct"/>
        <w:tblLayout w:type="fixed"/>
        <w:tblLook w:val="04A0" w:firstRow="1" w:lastRow="0" w:firstColumn="1" w:lastColumn="0" w:noHBand="0" w:noVBand="1"/>
      </w:tblPr>
      <w:tblGrid>
        <w:gridCol w:w="641"/>
        <w:gridCol w:w="1626"/>
        <w:gridCol w:w="2021"/>
        <w:gridCol w:w="927"/>
        <w:gridCol w:w="683"/>
        <w:gridCol w:w="1236"/>
        <w:gridCol w:w="977"/>
        <w:gridCol w:w="1142"/>
      </w:tblGrid>
      <w:tr w:rsidR="003B64CC">
        <w:trPr>
          <w:trHeight w:val="480"/>
        </w:trPr>
        <w:tc>
          <w:tcPr>
            <w:tcW w:w="346" w:type="pct"/>
            <w:tcBorders>
              <w:top w:val="single" w:sz="4" w:space="0" w:color="auto"/>
              <w:left w:val="single" w:sz="4" w:space="0" w:color="auto"/>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分项</w:t>
            </w:r>
          </w:p>
        </w:tc>
        <w:tc>
          <w:tcPr>
            <w:tcW w:w="878"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left"/>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采购品名</w:t>
            </w:r>
          </w:p>
        </w:tc>
        <w:tc>
          <w:tcPr>
            <w:tcW w:w="1091"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left"/>
              <w:rPr>
                <w:rFonts w:asciiTheme="minorEastAsia" w:hAnsiTheme="minorEastAsia" w:cstheme="minorEastAsia"/>
                <w:kern w:val="0"/>
                <w:sz w:val="24"/>
                <w:szCs w:val="24"/>
              </w:rPr>
            </w:pPr>
            <w:r>
              <w:rPr>
                <w:rFonts w:asciiTheme="minorEastAsia" w:hAnsiTheme="minorEastAsia" w:cstheme="minorEastAsia" w:hint="eastAsia"/>
                <w:kern w:val="0"/>
                <w:sz w:val="24"/>
                <w:szCs w:val="24"/>
              </w:rPr>
              <w:t>规格型号</w:t>
            </w:r>
          </w:p>
        </w:tc>
        <w:tc>
          <w:tcPr>
            <w:tcW w:w="501"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单位</w:t>
            </w:r>
          </w:p>
        </w:tc>
        <w:tc>
          <w:tcPr>
            <w:tcW w:w="369"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数量</w:t>
            </w:r>
          </w:p>
        </w:tc>
        <w:tc>
          <w:tcPr>
            <w:tcW w:w="668"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Cs w:val="21"/>
              </w:rPr>
              <w:t>单价   （元/台）</w:t>
            </w:r>
          </w:p>
        </w:tc>
        <w:tc>
          <w:tcPr>
            <w:tcW w:w="528"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金额（元）</w:t>
            </w:r>
          </w:p>
        </w:tc>
        <w:tc>
          <w:tcPr>
            <w:tcW w:w="615" w:type="pct"/>
            <w:tcBorders>
              <w:top w:val="single" w:sz="4" w:space="0" w:color="auto"/>
              <w:left w:val="nil"/>
              <w:bottom w:val="single" w:sz="4" w:space="0" w:color="auto"/>
              <w:right w:val="single" w:sz="4" w:space="0" w:color="auto"/>
            </w:tcBorders>
            <w:shd w:val="clear" w:color="000000" w:fill="FFFFFF"/>
            <w:noWrap/>
            <w:vAlign w:val="center"/>
          </w:tcPr>
          <w:p w:rsidR="003B64CC" w:rsidRDefault="00FF3A92">
            <w:pPr>
              <w:widowControl/>
              <w:jc w:val="center"/>
              <w:rPr>
                <w:rFonts w:asciiTheme="minorEastAsia" w:hAnsiTheme="minorEastAsia" w:cstheme="minorEastAsia"/>
                <w:kern w:val="0"/>
                <w:sz w:val="24"/>
                <w:szCs w:val="24"/>
              </w:rPr>
            </w:pPr>
            <w:r>
              <w:rPr>
                <w:rFonts w:asciiTheme="minorEastAsia" w:hAnsiTheme="minorEastAsia" w:cstheme="minorEastAsia" w:hint="eastAsia"/>
                <w:kern w:val="0"/>
                <w:sz w:val="24"/>
                <w:szCs w:val="24"/>
              </w:rPr>
              <w:t>制造厂商（品牌）</w:t>
            </w:r>
          </w:p>
        </w:tc>
      </w:tr>
      <w:tr w:rsidR="003B64CC">
        <w:trPr>
          <w:trHeight w:val="274"/>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Cs w:val="21"/>
              </w:rPr>
            </w:pPr>
            <w:r>
              <w:rPr>
                <w:rFonts w:asciiTheme="minorEastAsia" w:hAnsiTheme="minorEastAsia" w:cstheme="minorEastAsia" w:hint="eastAsia"/>
                <w:szCs w:val="21"/>
              </w:rPr>
              <w:t>1</w:t>
            </w:r>
          </w:p>
        </w:tc>
        <w:tc>
          <w:tcPr>
            <w:tcW w:w="878"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焊接式闸阀</w:t>
            </w:r>
          </w:p>
        </w:tc>
        <w:tc>
          <w:tcPr>
            <w:tcW w:w="1091"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 xml:space="preserve">Z61Y-100I，PN10， DN150 ，≥ 540℃  </w:t>
            </w:r>
          </w:p>
        </w:tc>
        <w:tc>
          <w:tcPr>
            <w:tcW w:w="501" w:type="pct"/>
            <w:tcBorders>
              <w:top w:val="single" w:sz="4" w:space="0" w:color="auto"/>
              <w:left w:val="single" w:sz="4" w:space="0" w:color="auto"/>
              <w:bottom w:val="single" w:sz="4" w:space="0" w:color="auto"/>
              <w:right w:val="single" w:sz="4" w:space="0" w:color="auto"/>
            </w:tcBorders>
            <w:shd w:val="clear" w:color="auto" w:fill="auto"/>
            <w:noWrap/>
            <w:vAlign w:val="center"/>
          </w:tcPr>
          <w:p w:rsidR="003B64CC" w:rsidRDefault="00FF3A92">
            <w:pPr>
              <w:widowControl/>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3B64CC">
            <w:pPr>
              <w:widowControl/>
              <w:jc w:val="center"/>
              <w:rPr>
                <w:rFonts w:asciiTheme="minorEastAsia" w:hAnsiTheme="minorEastAsia" w:cstheme="minorEastAsia"/>
                <w:szCs w:val="21"/>
              </w:rPr>
            </w:pPr>
          </w:p>
        </w:tc>
        <w:tc>
          <w:tcPr>
            <w:tcW w:w="528" w:type="pct"/>
            <w:tcBorders>
              <w:top w:val="single" w:sz="4" w:space="0" w:color="auto"/>
              <w:left w:val="nil"/>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615" w:type="pct"/>
            <w:vMerge w:val="restart"/>
            <w:tcBorders>
              <w:top w:val="single" w:sz="4" w:space="0" w:color="auto"/>
              <w:left w:val="single" w:sz="4" w:space="0" w:color="auto"/>
              <w:right w:val="single" w:sz="4" w:space="0" w:color="auto"/>
            </w:tcBorders>
            <w:shd w:val="clear" w:color="auto" w:fill="auto"/>
            <w:vAlign w:val="center"/>
          </w:tcPr>
          <w:p w:rsidR="003B64CC" w:rsidRDefault="003B64CC">
            <w:pPr>
              <w:widowControl/>
              <w:jc w:val="center"/>
              <w:rPr>
                <w:rFonts w:asciiTheme="minorEastAsia" w:hAnsiTheme="minorEastAsia" w:cstheme="minorEastAsia"/>
                <w:szCs w:val="21"/>
              </w:rPr>
            </w:pPr>
          </w:p>
        </w:tc>
      </w:tr>
      <w:tr w:rsidR="003B64CC">
        <w:trPr>
          <w:trHeight w:val="274"/>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Cs w:val="21"/>
              </w:rPr>
            </w:pPr>
            <w:r>
              <w:rPr>
                <w:rFonts w:asciiTheme="minorEastAsia" w:hAnsiTheme="minorEastAsia" w:cstheme="minorEastAsia" w:hint="eastAsia"/>
                <w:szCs w:val="21"/>
              </w:rPr>
              <w:t>2</w:t>
            </w:r>
          </w:p>
        </w:tc>
        <w:tc>
          <w:tcPr>
            <w:tcW w:w="878"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焊接式闸阀</w:t>
            </w:r>
          </w:p>
        </w:tc>
        <w:tc>
          <w:tcPr>
            <w:tcW w:w="1091"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Z61Y-100I，PN10，DN200，</w:t>
            </w:r>
            <w:r>
              <w:rPr>
                <w:rFonts w:asciiTheme="minorEastAsia" w:hAnsiTheme="minorEastAsia" w:cstheme="minorEastAsia" w:hint="eastAsia"/>
                <w:sz w:val="24"/>
                <w:szCs w:val="24"/>
              </w:rPr>
              <w:t>≥</w:t>
            </w:r>
            <w:r>
              <w:rPr>
                <w:rFonts w:asciiTheme="minorEastAsia" w:hAnsiTheme="minorEastAsia" w:cstheme="minorEastAsia" w:hint="eastAsia"/>
                <w:szCs w:val="21"/>
              </w:rPr>
              <w:t xml:space="preserve"> 540℃  </w:t>
            </w:r>
          </w:p>
        </w:tc>
        <w:tc>
          <w:tcPr>
            <w:tcW w:w="501"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668"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3B64CC">
            <w:pPr>
              <w:widowControl/>
              <w:jc w:val="center"/>
              <w:rPr>
                <w:rFonts w:asciiTheme="minorEastAsia" w:hAnsiTheme="minorEastAsia" w:cstheme="minorEastAsia"/>
                <w:szCs w:val="21"/>
              </w:rPr>
            </w:pPr>
          </w:p>
        </w:tc>
        <w:tc>
          <w:tcPr>
            <w:tcW w:w="528" w:type="pct"/>
            <w:tcBorders>
              <w:top w:val="single" w:sz="4" w:space="0" w:color="auto"/>
              <w:left w:val="nil"/>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615" w:type="pct"/>
            <w:vMerge/>
            <w:tcBorders>
              <w:left w:val="single" w:sz="4" w:space="0" w:color="auto"/>
              <w:right w:val="single" w:sz="4" w:space="0" w:color="auto"/>
            </w:tcBorders>
            <w:shd w:val="clear" w:color="auto" w:fill="auto"/>
            <w:vAlign w:val="center"/>
          </w:tcPr>
          <w:p w:rsidR="003B64CC" w:rsidRDefault="003B64CC">
            <w:pPr>
              <w:rPr>
                <w:rFonts w:asciiTheme="minorEastAsia" w:hAnsiTheme="minorEastAsia" w:cstheme="minorEastAsia"/>
                <w:szCs w:val="21"/>
              </w:rPr>
            </w:pPr>
          </w:p>
        </w:tc>
      </w:tr>
      <w:tr w:rsidR="003B64CC">
        <w:trPr>
          <w:trHeight w:val="274"/>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Cs w:val="21"/>
              </w:rPr>
            </w:pPr>
            <w:r>
              <w:rPr>
                <w:rFonts w:asciiTheme="minorEastAsia" w:hAnsiTheme="minorEastAsia" w:cstheme="minorEastAsia" w:hint="eastAsia"/>
                <w:szCs w:val="21"/>
              </w:rPr>
              <w:t>3</w:t>
            </w:r>
          </w:p>
        </w:tc>
        <w:tc>
          <w:tcPr>
            <w:tcW w:w="878"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焊接式闸阀</w:t>
            </w:r>
          </w:p>
        </w:tc>
        <w:tc>
          <w:tcPr>
            <w:tcW w:w="1091"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Z562Y-P54，100V，PN10，DN250，</w:t>
            </w:r>
            <w:r>
              <w:rPr>
                <w:rFonts w:asciiTheme="minorEastAsia" w:hAnsiTheme="minorEastAsia" w:cstheme="minorEastAsia" w:hint="eastAsia"/>
                <w:sz w:val="24"/>
                <w:szCs w:val="24"/>
              </w:rPr>
              <w:t>≥</w:t>
            </w:r>
            <w:r>
              <w:rPr>
                <w:rFonts w:asciiTheme="minorEastAsia" w:hAnsiTheme="minorEastAsia" w:cstheme="minorEastAsia" w:hint="eastAsia"/>
                <w:szCs w:val="21"/>
              </w:rPr>
              <w:t xml:space="preserve"> 540℃  </w:t>
            </w:r>
          </w:p>
        </w:tc>
        <w:tc>
          <w:tcPr>
            <w:tcW w:w="501"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668" w:type="pct"/>
            <w:tcBorders>
              <w:top w:val="nil"/>
              <w:left w:val="single" w:sz="4" w:space="0" w:color="auto"/>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528" w:type="pct"/>
            <w:tcBorders>
              <w:top w:val="nil"/>
              <w:left w:val="nil"/>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615" w:type="pct"/>
            <w:vMerge/>
            <w:tcBorders>
              <w:left w:val="single" w:sz="4" w:space="0" w:color="auto"/>
              <w:right w:val="single" w:sz="4" w:space="0" w:color="auto"/>
            </w:tcBorders>
            <w:shd w:val="clear" w:color="auto" w:fill="auto"/>
            <w:vAlign w:val="center"/>
          </w:tcPr>
          <w:p w:rsidR="003B64CC" w:rsidRDefault="003B64CC">
            <w:pPr>
              <w:rPr>
                <w:rFonts w:asciiTheme="minorEastAsia" w:hAnsiTheme="minorEastAsia" w:cstheme="minorEastAsia"/>
                <w:szCs w:val="21"/>
              </w:rPr>
            </w:pPr>
          </w:p>
        </w:tc>
      </w:tr>
      <w:tr w:rsidR="003B64CC">
        <w:trPr>
          <w:trHeight w:val="274"/>
        </w:trPr>
        <w:tc>
          <w:tcPr>
            <w:tcW w:w="346" w:type="pct"/>
            <w:tcBorders>
              <w:top w:val="nil"/>
              <w:left w:val="single" w:sz="4" w:space="0" w:color="auto"/>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4</w:t>
            </w:r>
          </w:p>
        </w:tc>
        <w:tc>
          <w:tcPr>
            <w:tcW w:w="878" w:type="pct"/>
            <w:tcBorders>
              <w:top w:val="nil"/>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焊接式电动闸阀（不含电动执行机构）</w:t>
            </w:r>
          </w:p>
        </w:tc>
        <w:tc>
          <w:tcPr>
            <w:tcW w:w="1091" w:type="pct"/>
            <w:tcBorders>
              <w:top w:val="nil"/>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Z961Y-100I，PN10， DN200，</w:t>
            </w:r>
            <w:r>
              <w:rPr>
                <w:rFonts w:asciiTheme="minorEastAsia" w:hAnsiTheme="minorEastAsia" w:cstheme="minorEastAsia" w:hint="eastAsia"/>
                <w:sz w:val="24"/>
                <w:szCs w:val="24"/>
              </w:rPr>
              <w:t>≥</w:t>
            </w:r>
            <w:r>
              <w:rPr>
                <w:rFonts w:asciiTheme="minorEastAsia" w:hAnsiTheme="minorEastAsia" w:cstheme="minorEastAsia" w:hint="eastAsia"/>
                <w:szCs w:val="21"/>
              </w:rPr>
              <w:t xml:space="preserve"> 540℃ </w:t>
            </w:r>
          </w:p>
        </w:tc>
        <w:tc>
          <w:tcPr>
            <w:tcW w:w="501" w:type="pct"/>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1</w:t>
            </w:r>
          </w:p>
        </w:tc>
        <w:tc>
          <w:tcPr>
            <w:tcW w:w="668" w:type="pct"/>
            <w:tcBorders>
              <w:top w:val="nil"/>
              <w:left w:val="single" w:sz="4" w:space="0" w:color="auto"/>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528" w:type="pct"/>
            <w:tcBorders>
              <w:top w:val="nil"/>
              <w:left w:val="nil"/>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615" w:type="pct"/>
            <w:vMerge/>
            <w:tcBorders>
              <w:left w:val="single" w:sz="4" w:space="0" w:color="auto"/>
              <w:right w:val="single" w:sz="4" w:space="0" w:color="auto"/>
            </w:tcBorders>
            <w:shd w:val="clear" w:color="auto" w:fill="auto"/>
            <w:vAlign w:val="center"/>
          </w:tcPr>
          <w:p w:rsidR="003B64CC" w:rsidRDefault="003B64CC">
            <w:pPr>
              <w:rPr>
                <w:rFonts w:asciiTheme="minorEastAsia" w:hAnsiTheme="minorEastAsia" w:cstheme="minorEastAsia"/>
                <w:szCs w:val="21"/>
              </w:rPr>
            </w:pPr>
          </w:p>
        </w:tc>
      </w:tr>
      <w:tr w:rsidR="003B64CC">
        <w:trPr>
          <w:trHeight w:val="274"/>
        </w:trPr>
        <w:tc>
          <w:tcPr>
            <w:tcW w:w="346" w:type="pct"/>
            <w:tcBorders>
              <w:top w:val="nil"/>
              <w:left w:val="single" w:sz="4" w:space="0" w:color="auto"/>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878" w:type="pct"/>
            <w:tcBorders>
              <w:top w:val="nil"/>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手动闸阀</w:t>
            </w:r>
          </w:p>
        </w:tc>
        <w:tc>
          <w:tcPr>
            <w:tcW w:w="1091" w:type="pct"/>
            <w:tcBorders>
              <w:top w:val="nil"/>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 xml:space="preserve">Z41Y-100I，PN10，DN150，≥ 540℃  </w:t>
            </w:r>
          </w:p>
        </w:tc>
        <w:tc>
          <w:tcPr>
            <w:tcW w:w="501" w:type="pct"/>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nil"/>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668" w:type="pct"/>
            <w:tcBorders>
              <w:top w:val="nil"/>
              <w:left w:val="single" w:sz="4" w:space="0" w:color="auto"/>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528" w:type="pct"/>
            <w:tcBorders>
              <w:top w:val="nil"/>
              <w:left w:val="nil"/>
              <w:bottom w:val="single" w:sz="4" w:space="0" w:color="auto"/>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615" w:type="pct"/>
            <w:vMerge/>
            <w:tcBorders>
              <w:left w:val="single" w:sz="4" w:space="0" w:color="auto"/>
              <w:right w:val="single" w:sz="4" w:space="0" w:color="auto"/>
            </w:tcBorders>
            <w:shd w:val="clear" w:color="auto" w:fill="auto"/>
            <w:vAlign w:val="center"/>
          </w:tcPr>
          <w:p w:rsidR="003B64CC" w:rsidRDefault="003B64CC">
            <w:pPr>
              <w:widowControl/>
              <w:jc w:val="center"/>
              <w:rPr>
                <w:rFonts w:asciiTheme="minorEastAsia" w:hAnsiTheme="minorEastAsia" w:cstheme="minorEastAsia"/>
                <w:kern w:val="0"/>
                <w:szCs w:val="21"/>
              </w:rPr>
            </w:pPr>
          </w:p>
        </w:tc>
      </w:tr>
      <w:tr w:rsidR="003B64CC">
        <w:trPr>
          <w:trHeight w:val="731"/>
        </w:trPr>
        <w:tc>
          <w:tcPr>
            <w:tcW w:w="346" w:type="pct"/>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widowControl/>
              <w:jc w:val="center"/>
              <w:rPr>
                <w:rFonts w:asciiTheme="minorEastAsia" w:hAnsiTheme="minorEastAsia" w:cstheme="minorEastAsia"/>
                <w:szCs w:val="21"/>
              </w:rPr>
            </w:pPr>
            <w:r>
              <w:rPr>
                <w:rFonts w:asciiTheme="minorEastAsia" w:hAnsiTheme="minorEastAsia" w:cstheme="minorEastAsia" w:hint="eastAsia"/>
                <w:szCs w:val="21"/>
              </w:rPr>
              <w:t>6</w:t>
            </w:r>
          </w:p>
        </w:tc>
        <w:tc>
          <w:tcPr>
            <w:tcW w:w="878"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电动截止阀（不含电动执行机构）</w:t>
            </w:r>
          </w:p>
        </w:tc>
        <w:tc>
          <w:tcPr>
            <w:tcW w:w="1091" w:type="pct"/>
            <w:tcBorders>
              <w:top w:val="single" w:sz="4" w:space="0" w:color="auto"/>
              <w:left w:val="nil"/>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Cs w:val="21"/>
              </w:rPr>
            </w:pPr>
            <w:r>
              <w:rPr>
                <w:rFonts w:asciiTheme="minorEastAsia" w:hAnsiTheme="minorEastAsia" w:cstheme="minorEastAsia" w:hint="eastAsia"/>
                <w:szCs w:val="21"/>
              </w:rPr>
              <w:t>KJ941H-100C，PN10，DN50，</w:t>
            </w:r>
            <w:r>
              <w:rPr>
                <w:rFonts w:asciiTheme="minorEastAsia" w:hAnsiTheme="minorEastAsia" w:cstheme="minorEastAsia" w:hint="eastAsia"/>
                <w:sz w:val="24"/>
                <w:szCs w:val="24"/>
              </w:rPr>
              <w:t>≥</w:t>
            </w:r>
            <w:r>
              <w:rPr>
                <w:rFonts w:asciiTheme="minorEastAsia" w:hAnsiTheme="minorEastAsia" w:cstheme="minorEastAsia" w:hint="eastAsia"/>
                <w:szCs w:val="21"/>
              </w:rPr>
              <w:t xml:space="preserve"> 425℃ </w:t>
            </w:r>
          </w:p>
        </w:tc>
        <w:tc>
          <w:tcPr>
            <w:tcW w:w="501"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台</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3B64CC" w:rsidRDefault="00FF3A92">
            <w:pPr>
              <w:jc w:val="center"/>
              <w:rPr>
                <w:rFonts w:asciiTheme="minorEastAsia" w:hAnsiTheme="minorEastAsia" w:cstheme="minorEastAsia"/>
                <w:szCs w:val="21"/>
              </w:rPr>
            </w:pPr>
            <w:r>
              <w:rPr>
                <w:rFonts w:asciiTheme="minorEastAsia" w:hAnsiTheme="minorEastAsia" w:cstheme="minorEastAsia" w:hint="eastAsia"/>
                <w:szCs w:val="21"/>
              </w:rPr>
              <w:t>2</w:t>
            </w:r>
          </w:p>
        </w:tc>
        <w:tc>
          <w:tcPr>
            <w:tcW w:w="668" w:type="pct"/>
            <w:tcBorders>
              <w:top w:val="nil"/>
              <w:left w:val="single" w:sz="4" w:space="0" w:color="auto"/>
              <w:bottom w:val="nil"/>
              <w:right w:val="single" w:sz="4" w:space="0" w:color="auto"/>
            </w:tcBorders>
            <w:shd w:val="clear" w:color="auto" w:fill="auto"/>
            <w:vAlign w:val="center"/>
          </w:tcPr>
          <w:p w:rsidR="003B64CC" w:rsidRDefault="003B64CC">
            <w:pPr>
              <w:jc w:val="center"/>
              <w:rPr>
                <w:rFonts w:asciiTheme="minorEastAsia" w:hAnsiTheme="minorEastAsia" w:cstheme="minorEastAsia"/>
                <w:szCs w:val="21"/>
              </w:rPr>
            </w:pPr>
          </w:p>
        </w:tc>
        <w:tc>
          <w:tcPr>
            <w:tcW w:w="528" w:type="pct"/>
            <w:tcBorders>
              <w:top w:val="nil"/>
              <w:left w:val="nil"/>
              <w:bottom w:val="nil"/>
              <w:right w:val="single" w:sz="4" w:space="0" w:color="auto"/>
            </w:tcBorders>
            <w:shd w:val="clear" w:color="000000" w:fill="FFFFFF"/>
            <w:vAlign w:val="center"/>
          </w:tcPr>
          <w:p w:rsidR="003B64CC" w:rsidRDefault="003B64CC">
            <w:pPr>
              <w:widowControl/>
              <w:jc w:val="center"/>
              <w:rPr>
                <w:rFonts w:asciiTheme="minorEastAsia" w:hAnsiTheme="minorEastAsia" w:cstheme="minorEastAsia"/>
                <w:kern w:val="0"/>
                <w:szCs w:val="21"/>
              </w:rPr>
            </w:pPr>
          </w:p>
        </w:tc>
        <w:tc>
          <w:tcPr>
            <w:tcW w:w="615" w:type="pct"/>
            <w:vMerge/>
            <w:tcBorders>
              <w:left w:val="single" w:sz="4" w:space="0" w:color="auto"/>
              <w:right w:val="single" w:sz="4" w:space="0" w:color="auto"/>
            </w:tcBorders>
            <w:shd w:val="clear" w:color="000000" w:fill="FFFFFF"/>
            <w:vAlign w:val="center"/>
          </w:tcPr>
          <w:p w:rsidR="003B64CC" w:rsidRDefault="003B64CC">
            <w:pPr>
              <w:widowControl/>
              <w:jc w:val="center"/>
              <w:rPr>
                <w:rFonts w:asciiTheme="minorEastAsia" w:hAnsiTheme="minorEastAsia" w:cstheme="minorEastAsia"/>
                <w:kern w:val="0"/>
                <w:szCs w:val="21"/>
              </w:rPr>
            </w:pPr>
          </w:p>
        </w:tc>
      </w:tr>
      <w:tr w:rsidR="003B64CC">
        <w:trPr>
          <w:trHeight w:val="731"/>
        </w:trPr>
        <w:tc>
          <w:tcPr>
            <w:tcW w:w="231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项目汇总价（含13%增值税专票）</w:t>
            </w:r>
          </w:p>
        </w:tc>
        <w:tc>
          <w:tcPr>
            <w:tcW w:w="2683" w:type="pct"/>
            <w:gridSpan w:val="5"/>
            <w:tcBorders>
              <w:top w:val="single" w:sz="4" w:space="0" w:color="auto"/>
              <w:left w:val="nil"/>
              <w:bottom w:val="single" w:sz="4" w:space="0" w:color="auto"/>
              <w:right w:val="single" w:sz="4" w:space="0" w:color="auto"/>
            </w:tcBorders>
            <w:shd w:val="clear" w:color="auto" w:fill="auto"/>
            <w:noWrap/>
            <w:vAlign w:val="center"/>
          </w:tcPr>
          <w:p w:rsidR="003B64CC" w:rsidRDefault="003B64CC">
            <w:pPr>
              <w:widowControl/>
              <w:jc w:val="center"/>
              <w:rPr>
                <w:rFonts w:asciiTheme="minorEastAsia" w:hAnsiTheme="minorEastAsia" w:cstheme="minorEastAsia"/>
                <w:kern w:val="0"/>
                <w:sz w:val="24"/>
                <w:szCs w:val="24"/>
              </w:rPr>
            </w:pPr>
          </w:p>
        </w:tc>
      </w:tr>
    </w:tbl>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p w:rsidR="003B64CC" w:rsidRDefault="00FF3A92">
      <w:pPr>
        <w:rPr>
          <w:rFonts w:asciiTheme="minorEastAsia" w:hAnsiTheme="minorEastAsia" w:cstheme="minorEastAsia"/>
          <w:sz w:val="24"/>
          <w:szCs w:val="24"/>
        </w:rPr>
      </w:pPr>
      <w:r>
        <w:rPr>
          <w:rFonts w:asciiTheme="minorEastAsia" w:hAnsiTheme="minorEastAsia" w:cstheme="minorEastAsia" w:hint="eastAsia"/>
          <w:sz w:val="24"/>
          <w:szCs w:val="24"/>
        </w:rPr>
        <w:t xml:space="preserve">                                        报价单位：（公章）</w:t>
      </w:r>
    </w:p>
    <w:p w:rsidR="003B64CC" w:rsidRDefault="00FF3A92">
      <w:pPr>
        <w:rPr>
          <w:rFonts w:asciiTheme="minorEastAsia" w:hAnsiTheme="minorEastAsia" w:cstheme="minorEastAsia"/>
          <w:sz w:val="24"/>
          <w:szCs w:val="24"/>
        </w:rPr>
      </w:pPr>
      <w:r>
        <w:rPr>
          <w:rFonts w:asciiTheme="minorEastAsia" w:hAnsiTheme="minorEastAsia" w:cstheme="minorEastAsia" w:hint="eastAsia"/>
          <w:sz w:val="24"/>
          <w:szCs w:val="24"/>
        </w:rPr>
        <w:t xml:space="preserve">                                       2020年  月    日</w:t>
      </w:r>
    </w:p>
    <w:p w:rsidR="003B64CC" w:rsidRDefault="003B64CC">
      <w:pPr>
        <w:adjustRightInd w:val="0"/>
        <w:snapToGrid w:val="0"/>
        <w:spacing w:line="400" w:lineRule="atLeast"/>
        <w:jc w:val="center"/>
        <w:rPr>
          <w:rFonts w:asciiTheme="minorEastAsia" w:hAnsiTheme="minorEastAsia" w:cstheme="minorEastAsia"/>
          <w:b/>
          <w:bCs/>
          <w:sz w:val="24"/>
          <w:szCs w:val="24"/>
        </w:rPr>
      </w:pPr>
    </w:p>
    <w:p w:rsidR="003B64CC" w:rsidRDefault="003B64CC">
      <w:pPr>
        <w:adjustRightInd w:val="0"/>
        <w:snapToGrid w:val="0"/>
        <w:spacing w:line="400" w:lineRule="atLeast"/>
        <w:jc w:val="center"/>
        <w:rPr>
          <w:rFonts w:asciiTheme="minorEastAsia" w:hAnsiTheme="minorEastAsia" w:cstheme="minorEastAsia"/>
          <w:b/>
          <w:bCs/>
          <w:sz w:val="24"/>
          <w:szCs w:val="24"/>
        </w:rPr>
      </w:pPr>
    </w:p>
    <w:p w:rsidR="003B64CC" w:rsidRDefault="003B64CC">
      <w:pPr>
        <w:adjustRightInd w:val="0"/>
        <w:snapToGrid w:val="0"/>
        <w:spacing w:line="400" w:lineRule="atLeast"/>
        <w:jc w:val="center"/>
        <w:rPr>
          <w:rFonts w:asciiTheme="minorEastAsia" w:hAnsiTheme="minorEastAsia" w:cstheme="minorEastAsia"/>
          <w:b/>
          <w:bCs/>
          <w:sz w:val="24"/>
          <w:szCs w:val="24"/>
        </w:rPr>
      </w:pPr>
    </w:p>
    <w:p w:rsidR="003B64CC" w:rsidRDefault="003B64CC">
      <w:pPr>
        <w:adjustRightInd w:val="0"/>
        <w:snapToGrid w:val="0"/>
        <w:spacing w:line="400" w:lineRule="atLeast"/>
        <w:jc w:val="center"/>
        <w:rPr>
          <w:rFonts w:asciiTheme="minorEastAsia" w:hAnsiTheme="minorEastAsia" w:cstheme="minorEastAsia"/>
          <w:b/>
          <w:bCs/>
          <w:sz w:val="24"/>
          <w:szCs w:val="24"/>
        </w:rPr>
      </w:pPr>
    </w:p>
    <w:p w:rsidR="003B64CC" w:rsidRDefault="003B64CC">
      <w:pPr>
        <w:adjustRightInd w:val="0"/>
        <w:snapToGrid w:val="0"/>
        <w:spacing w:line="400" w:lineRule="atLeast"/>
        <w:jc w:val="center"/>
        <w:rPr>
          <w:rFonts w:asciiTheme="minorEastAsia" w:hAnsiTheme="minorEastAsia" w:cstheme="minorEastAsia"/>
          <w:b/>
          <w:bCs/>
          <w:sz w:val="24"/>
          <w:szCs w:val="24"/>
        </w:rPr>
      </w:pPr>
    </w:p>
    <w:p w:rsidR="003B64CC" w:rsidRDefault="00FF3A92">
      <w:pPr>
        <w:adjustRightInd w:val="0"/>
        <w:snapToGrid w:val="0"/>
        <w:spacing w:line="400" w:lineRule="atLeast"/>
        <w:jc w:val="center"/>
        <w:rPr>
          <w:rFonts w:asciiTheme="minorEastAsia" w:hAnsiTheme="minorEastAsia" w:cstheme="minorEastAsia"/>
          <w:b/>
          <w:bCs/>
          <w:sz w:val="24"/>
          <w:szCs w:val="24"/>
        </w:rPr>
      </w:pPr>
      <w:r>
        <w:rPr>
          <w:rFonts w:asciiTheme="minorEastAsia" w:hAnsiTheme="minorEastAsia" w:cstheme="minorEastAsia" w:hint="eastAsia"/>
          <w:b/>
          <w:bCs/>
          <w:sz w:val="24"/>
          <w:szCs w:val="24"/>
        </w:rPr>
        <w:lastRenderedPageBreak/>
        <w:t>附件4、阀门采购技术规范书</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4" w:name="_Toc15784"/>
      <w:bookmarkStart w:id="5" w:name="_Toc22167"/>
      <w:bookmarkStart w:id="6" w:name="_Toc381625543"/>
      <w:bookmarkStart w:id="7" w:name="_Toc24304"/>
      <w:bookmarkStart w:id="8" w:name="_Toc31575"/>
      <w:r>
        <w:rPr>
          <w:rFonts w:asciiTheme="minorEastAsia" w:hAnsiTheme="minorEastAsia" w:cstheme="minorEastAsia" w:hint="eastAsia"/>
          <w:sz w:val="24"/>
          <w:szCs w:val="24"/>
        </w:rPr>
        <w:t>总则</w:t>
      </w:r>
      <w:bookmarkEnd w:id="1"/>
      <w:bookmarkEnd w:id="2"/>
      <w:bookmarkEnd w:id="3"/>
      <w:bookmarkEnd w:id="4"/>
      <w:bookmarkEnd w:id="5"/>
      <w:bookmarkEnd w:id="6"/>
      <w:bookmarkEnd w:id="7"/>
      <w:bookmarkEnd w:id="8"/>
    </w:p>
    <w:p w:rsidR="003B64CC" w:rsidRDefault="00FF3A92">
      <w:pPr>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1.1</w:t>
      </w:r>
      <w:r>
        <w:rPr>
          <w:rFonts w:asciiTheme="minorEastAsia" w:hAnsiTheme="minorEastAsia" w:cstheme="minorEastAsia" w:hint="eastAsia"/>
          <w:sz w:val="24"/>
          <w:szCs w:val="24"/>
        </w:rPr>
        <w:tab/>
        <w:t>本技术协议提出了厦门海发环保能源股份有限公司锅炉范围阀门采购，包括阀门本体、电动装置及其附件的功能设计、性能、结构、制造、试验、安装和质量保证等各方面的技术要求。</w:t>
      </w:r>
    </w:p>
    <w:p w:rsidR="003B64CC" w:rsidRDefault="00FF3A92">
      <w:pPr>
        <w:pStyle w:val="20"/>
        <w:adjustRightInd w:val="0"/>
        <w:snapToGrid w:val="0"/>
        <w:spacing w:after="0" w:line="400" w:lineRule="atLeast"/>
        <w:ind w:leftChars="0" w:left="0"/>
        <w:rPr>
          <w:rFonts w:asciiTheme="minorEastAsia" w:hAnsiTheme="minorEastAsia" w:cstheme="minorEastAsia"/>
          <w:sz w:val="24"/>
          <w:szCs w:val="24"/>
        </w:rPr>
      </w:pPr>
      <w:r>
        <w:rPr>
          <w:rFonts w:asciiTheme="minorEastAsia" w:hAnsiTheme="minorEastAsia" w:cstheme="minorEastAsia" w:hint="eastAsia"/>
          <w:sz w:val="24"/>
          <w:szCs w:val="24"/>
        </w:rPr>
        <w:t>1.2</w:t>
      </w:r>
      <w:r>
        <w:rPr>
          <w:rFonts w:asciiTheme="minorEastAsia" w:hAnsiTheme="minorEastAsia" w:cstheme="minorEastAsia" w:hint="eastAsia"/>
          <w:sz w:val="24"/>
          <w:szCs w:val="24"/>
        </w:rPr>
        <w:tab/>
        <w:t>本技术协议提出的是最低限度的技术要求，并没有对一切技术细节</w:t>
      </w:r>
      <w:proofErr w:type="gramStart"/>
      <w:r>
        <w:rPr>
          <w:rFonts w:asciiTheme="minorEastAsia" w:hAnsiTheme="minorEastAsia" w:cstheme="minorEastAsia" w:hint="eastAsia"/>
          <w:sz w:val="24"/>
          <w:szCs w:val="24"/>
        </w:rPr>
        <w:t>作出</w:t>
      </w:r>
      <w:proofErr w:type="gramEnd"/>
      <w:r>
        <w:rPr>
          <w:rFonts w:asciiTheme="minorEastAsia" w:hAnsiTheme="minorEastAsia" w:cstheme="minorEastAsia" w:hint="eastAsia"/>
          <w:sz w:val="24"/>
          <w:szCs w:val="24"/>
        </w:rPr>
        <w:t>规定，也未充分引述有关标准及规范的条文。报价方应保证提供符合本技术协议和有关最新工业标准的产品。对国家有关安全、环保、电力等强制性标准，即使本规范书没有提及，报价方也必须满足要求。报价方应提供一套满足本技术协议和所列标准要求的高质量产品及其相应服务。</w:t>
      </w:r>
    </w:p>
    <w:p w:rsidR="003B64CC" w:rsidRDefault="00FF3A92">
      <w:pPr>
        <w:pStyle w:val="20"/>
        <w:adjustRightInd w:val="0"/>
        <w:snapToGrid w:val="0"/>
        <w:spacing w:after="0" w:line="400" w:lineRule="atLeast"/>
        <w:ind w:leftChars="0" w:left="0"/>
        <w:rPr>
          <w:rFonts w:asciiTheme="minorEastAsia" w:hAnsiTheme="minorEastAsia" w:cstheme="minorEastAsia"/>
          <w:sz w:val="24"/>
          <w:szCs w:val="24"/>
        </w:rPr>
      </w:pPr>
      <w:r>
        <w:rPr>
          <w:rFonts w:asciiTheme="minorEastAsia" w:hAnsiTheme="minorEastAsia" w:cstheme="minorEastAsia" w:hint="eastAsia"/>
          <w:sz w:val="24"/>
          <w:szCs w:val="24"/>
        </w:rPr>
        <w:t>1.3本技术条件中凡标明参数数值的，是作为特别强调，其他未标明的均应执行相关GB、IEC和DL标准。</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1.4 在</w:t>
      </w:r>
      <w:proofErr w:type="gramStart"/>
      <w:r>
        <w:rPr>
          <w:rFonts w:asciiTheme="minorEastAsia" w:hAnsiTheme="minorEastAsia" w:cstheme="minorEastAsia" w:hint="eastAsia"/>
          <w:sz w:val="24"/>
          <w:szCs w:val="24"/>
        </w:rPr>
        <w:t>签定</w:t>
      </w:r>
      <w:proofErr w:type="gramEnd"/>
      <w:r>
        <w:rPr>
          <w:rFonts w:asciiTheme="minorEastAsia" w:hAnsiTheme="minorEastAsia" w:cstheme="minorEastAsia" w:hint="eastAsia"/>
          <w:sz w:val="24"/>
          <w:szCs w:val="24"/>
        </w:rPr>
        <w:t>合同之后，采购方保留对本技术协议提出补充要求和修改的权利，报价方应承诺予以配合。如提出修改，具体项目和条件由供、需双方商定。</w:t>
      </w:r>
    </w:p>
    <w:p w:rsidR="003B64CC" w:rsidRDefault="00FF3A92">
      <w:pPr>
        <w:pStyle w:val="10"/>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1.5 报价</w:t>
      </w:r>
      <w:proofErr w:type="gramStart"/>
      <w:r>
        <w:rPr>
          <w:rFonts w:asciiTheme="minorEastAsia" w:hAnsiTheme="minorEastAsia" w:cstheme="minorEastAsia" w:hint="eastAsia"/>
          <w:sz w:val="24"/>
          <w:szCs w:val="24"/>
        </w:rPr>
        <w:t>方执行</w:t>
      </w:r>
      <w:proofErr w:type="gramEnd"/>
      <w:r>
        <w:rPr>
          <w:rFonts w:asciiTheme="minorEastAsia" w:hAnsiTheme="minorEastAsia" w:cstheme="minorEastAsia" w:hint="eastAsia"/>
          <w:sz w:val="24"/>
          <w:szCs w:val="24"/>
        </w:rPr>
        <w:t>本技术协议所列标准。有矛盾时，按较高标准执行，并在系统设计和设备制造中所涉及的各项规程，规范和标准遵循现行最新版本的标准。</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1.6 系统设备采用的专利涉及到的全部费用均已包含在设备报价中，报价方保证采购方不承担有关设备专利的一切责任。</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1.7 在签订合同之后，采购方有权提出</w:t>
      </w:r>
      <w:proofErr w:type="gramStart"/>
      <w:r>
        <w:rPr>
          <w:rFonts w:asciiTheme="minorEastAsia" w:hAnsiTheme="minorEastAsia" w:cstheme="minorEastAsia" w:hint="eastAsia"/>
          <w:sz w:val="24"/>
          <w:szCs w:val="24"/>
        </w:rPr>
        <w:t>因规范</w:t>
      </w:r>
      <w:proofErr w:type="gramEnd"/>
      <w:r>
        <w:rPr>
          <w:rFonts w:asciiTheme="minorEastAsia" w:hAnsiTheme="minorEastAsia" w:cstheme="minorEastAsia" w:hint="eastAsia"/>
          <w:sz w:val="24"/>
          <w:szCs w:val="24"/>
        </w:rPr>
        <w:t>标准和规程发生变化而产生的一些补充要求，具体项目由采购方、报价方双方共同商定，合同设备</w:t>
      </w:r>
      <w:proofErr w:type="gramStart"/>
      <w:r>
        <w:rPr>
          <w:rFonts w:asciiTheme="minorEastAsia" w:hAnsiTheme="minorEastAsia" w:cstheme="minorEastAsia" w:hint="eastAsia"/>
          <w:sz w:val="24"/>
          <w:szCs w:val="24"/>
        </w:rPr>
        <w:t>不</w:t>
      </w:r>
      <w:proofErr w:type="gramEnd"/>
      <w:r>
        <w:rPr>
          <w:rFonts w:asciiTheme="minorEastAsia" w:hAnsiTheme="minorEastAsia" w:cstheme="minorEastAsia" w:hint="eastAsia"/>
          <w:sz w:val="24"/>
          <w:szCs w:val="24"/>
        </w:rPr>
        <w:t>因此而加价。</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1.8 本工程采用统一的电厂编码标识系统。报价方应在设计、制造、运输、安装、试运行及项目管理等各个环节使用标识编码。具体标识要求由设计院提出，在设计联络会上讨论确定。</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1.9 报价方提供的文件，包括图纸、计算、说明、使用手册等，均应使用国际单位制(SI)。所有文件、工程图纸及相互通讯，均应使用中文。不论在合同谈判及签约后的工程建设期间，中文是主要的工作语言。若文件为外文，应同时附中文说明。</w:t>
      </w:r>
    </w:p>
    <w:p w:rsidR="003B64CC" w:rsidRDefault="00FF3A92">
      <w:pPr>
        <w:pStyle w:val="a3"/>
        <w:adjustRightInd w:val="0"/>
        <w:snapToGrid w:val="0"/>
        <w:spacing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1.10 若本技术协议前后有不一致的地方，应以更有利于设备安装运行、工程质量为原则，由采购方确定。</w:t>
      </w:r>
    </w:p>
    <w:p w:rsidR="003B64CC" w:rsidRDefault="00FF3A92">
      <w:pPr>
        <w:adjustRightInd w:val="0"/>
        <w:snapToGrid w:val="0"/>
        <w:spacing w:line="400" w:lineRule="atLeast"/>
        <w:rPr>
          <w:rFonts w:asciiTheme="minorEastAsia" w:hAnsiTheme="minorEastAsia" w:cstheme="minorEastAsia"/>
          <w:spacing w:val="5"/>
          <w:sz w:val="24"/>
          <w:szCs w:val="24"/>
        </w:rPr>
      </w:pPr>
      <w:r>
        <w:rPr>
          <w:rFonts w:asciiTheme="minorEastAsia" w:hAnsiTheme="minorEastAsia" w:cstheme="minorEastAsia" w:hint="eastAsia"/>
          <w:sz w:val="24"/>
          <w:szCs w:val="24"/>
        </w:rPr>
        <w:t>1.11 在设备安装过程中及运行一年以内，如发生制造质量问题，应由报价方免费修理或更换；若因保管、使用不当使设备损伤，由报价方协助解决有关问题，做好技术服务工作。</w:t>
      </w:r>
    </w:p>
    <w:p w:rsidR="003B64CC" w:rsidRDefault="00FF3A92">
      <w:pPr>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1.12 本技术协议的“天”、“日”均指日历日，“年”、“月”、“日”按公历计算。</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9" w:name="_Toc18630"/>
      <w:bookmarkStart w:id="10" w:name="_Toc26346"/>
      <w:bookmarkStart w:id="11" w:name="_Toc381625545"/>
      <w:bookmarkStart w:id="12" w:name="_Toc515678523"/>
      <w:bookmarkStart w:id="13" w:name="_Toc29995"/>
      <w:bookmarkStart w:id="14" w:name="_Toc8613"/>
      <w:bookmarkStart w:id="15" w:name="_Toc515678554"/>
      <w:bookmarkStart w:id="16" w:name="_Toc66848111"/>
      <w:r>
        <w:rPr>
          <w:rFonts w:asciiTheme="minorEastAsia" w:hAnsiTheme="minorEastAsia" w:cstheme="minorEastAsia" w:hint="eastAsia"/>
          <w:sz w:val="24"/>
          <w:szCs w:val="24"/>
        </w:rPr>
        <w:t xml:space="preserve">标准 </w:t>
      </w:r>
    </w:p>
    <w:p w:rsidR="003B64CC" w:rsidRDefault="00FF3A92">
      <w:pPr>
        <w:pStyle w:val="20"/>
        <w:adjustRightInd w:val="0"/>
        <w:snapToGrid w:val="0"/>
        <w:spacing w:after="0" w:line="400" w:lineRule="atLeast"/>
        <w:ind w:leftChars="0" w:left="0"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报价方提供的产品必需满足最新的国家有关标准和规范，以及IEC，ANSI，BS，IPCEA</w:t>
      </w:r>
      <w:r>
        <w:rPr>
          <w:rFonts w:asciiTheme="minorEastAsia" w:hAnsiTheme="minorEastAsia" w:cstheme="minorEastAsia" w:hint="eastAsia"/>
          <w:sz w:val="24"/>
          <w:szCs w:val="24"/>
        </w:rPr>
        <w:lastRenderedPageBreak/>
        <w:t>和NEMA等国际标准，包括其附录，其中优先选用GB标准。当与本技术协议有矛盾时，报价方应以书面形式向采购方提出，原则上以要求高者为准。</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JB/T3595《电站阀门一般要求》</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GB/T12221《法兰连接金属阀门结构长度》</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GB/T12224《钢制阀门一般要求》</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GB/T12334《通用阀门、法兰和对焊连接钢制闸阀》</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GB/T12237《通用阀门  法兰和对焊连接钢制球阀》</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GB/T13927《通用阀门  压力试验》</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GB/T9113 《整体钢制管法兰》</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GB/T15188.1《阀门的结构长度  对焊连接阀门》</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AP1598《阀门的检验和试验》</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AP1600《法兰和对焊连接的钢制阀门》</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AP1602《法兰、螺纹、焊接和阀体加长的紧凑钢制闸阀》</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AP1608《法兰、螺纹和焊接金属球阀》</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ANS1B16.34《法兰、螺纹和焊接的阀门》</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ANS1B16.10《阀门结构长度》</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JB/T9092《阀门的检验与试验》</w:t>
      </w:r>
    </w:p>
    <w:p w:rsidR="003B64CC" w:rsidRDefault="00FF3A92">
      <w:pPr>
        <w:numPr>
          <w:ilvl w:val="0"/>
          <w:numId w:val="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DL/T922《火力发电钢制通用阀门订货、验收导则》</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技术要求</w:t>
      </w:r>
      <w:bookmarkEnd w:id="9"/>
      <w:bookmarkEnd w:id="10"/>
      <w:bookmarkEnd w:id="11"/>
      <w:bookmarkEnd w:id="12"/>
      <w:bookmarkEnd w:id="13"/>
      <w:bookmarkEnd w:id="14"/>
      <w:bookmarkEnd w:id="15"/>
      <w:bookmarkEnd w:id="16"/>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基本要求</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报价方的品牌产品应为全新成熟产品。报价方保证提供设备为全新的、先进的、成熟的、完整的和安全可靠的，且设备的技术经济性能符合本规范书的要求。</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报价方产品必须在国内、国际具有五年以上成功应用业绩，无不良使用和售后服务记录。</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报价方应依照采购方提出的技术参数条件，选定满足要求的阀门并提供阀门的规范。所有阀门必须按ANSI B16.34、B31.1、ASTM及国标等相关标准执行、选材、制造和试验。阀门的设计应满足介质温度、压力、流量、流向、以及严密性要求，并满足系统开/关时间的要求。</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阀门应开关灵活，无卡涩现象，密封可靠，其运行寿命保证30年（易损件除外）。</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详细说明产品的以下几种情况(但不限于此)：阀体、阀盖、阀芯、阀杆等零部件的材质、硬度及各材质允许的温度范围；阀门填料材质、特点及密封效果；阀门抗冲刷性能及密封面的优良性能；阀门的最短保证使用寿命；阀门的执行机构厂家及特点。</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所有阀门应外观无裂纹、缩孔、加渣、粘砂、漏焊、重皮等缺陷；表面光滑、无</w:t>
      </w:r>
      <w:r>
        <w:rPr>
          <w:rFonts w:asciiTheme="minorEastAsia" w:hAnsiTheme="minorEastAsia" w:cstheme="minorEastAsia" w:hint="eastAsia"/>
          <w:sz w:val="24"/>
          <w:szCs w:val="24"/>
        </w:rPr>
        <w:lastRenderedPageBreak/>
        <w:t>凹陷、无尖锐划痕现象； 操作动作灵活、指示正确；质保期内无内漏、外漏现象。</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阀门中的不锈钢，根据温度选择，但应为不低于1Cr18Ni9Ti材质。</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每个阀门盘根等密封件都要提供全套备件。对使用的盘根、密封垫等密封填料应作具体要求，应使用高强石墨成型盘根和高强石墨垫或金属缠绕垫，并符合或优于国家相关标准和规范。每个阀门应提供至少满足更换一次的盘根、密封垫等全套填料备品。</w:t>
      </w:r>
    </w:p>
    <w:p w:rsidR="003B64CC" w:rsidRDefault="00FF3A92">
      <w:pPr>
        <w:numPr>
          <w:ilvl w:val="0"/>
          <w:numId w:val="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阀门应严格按照国家标准，出厂前进行打压试验，试验合格证齐全。阀门内部紧固件应有可靠的防松脱措施。</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bookmarkStart w:id="17" w:name="_Ref374765936"/>
      <w:bookmarkStart w:id="18" w:name="_Toc378080880"/>
      <w:r>
        <w:rPr>
          <w:rFonts w:asciiTheme="minorEastAsia" w:hAnsiTheme="minorEastAsia" w:cstheme="minorEastAsia" w:hint="eastAsia"/>
          <w:sz w:val="24"/>
          <w:szCs w:val="24"/>
        </w:rPr>
        <w:t>材料和焊接</w:t>
      </w:r>
      <w:bookmarkEnd w:id="17"/>
      <w:bookmarkEnd w:id="18"/>
    </w:p>
    <w:p w:rsidR="003B64CC" w:rsidRDefault="00FF3A92">
      <w:pPr>
        <w:numPr>
          <w:ilvl w:val="0"/>
          <w:numId w:val="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报价方应保证所有材料适合于所输送的流体。所有承压零部件材料，非承压材料如垫片、填料均应符合相关规范、标准的要求。</w:t>
      </w:r>
    </w:p>
    <w:p w:rsidR="003B64CC" w:rsidRDefault="00FF3A92">
      <w:pPr>
        <w:numPr>
          <w:ilvl w:val="0"/>
          <w:numId w:val="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所有焊接都应符合相关规范或标准的要求。</w:t>
      </w:r>
    </w:p>
    <w:p w:rsidR="003B64CC" w:rsidRDefault="00FF3A92">
      <w:pPr>
        <w:numPr>
          <w:ilvl w:val="0"/>
          <w:numId w:val="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报价方提供的焊接阀门或短管应能与采购方的管道直接焊接，阀门或短管的坡口形式必须符合《火力发电厂汽水管道设计技术规范》（DL/5054-2016）相关的坡口要求。</w:t>
      </w:r>
    </w:p>
    <w:p w:rsidR="003B64CC" w:rsidRDefault="00FF3A92">
      <w:pPr>
        <w:numPr>
          <w:ilvl w:val="0"/>
          <w:numId w:val="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报价方应根据介质和限定的工作条件,进行材料选用并提供给采购方确认,但不能推卸选用材料的责任。</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bookmarkStart w:id="19" w:name="_Toc515678525"/>
      <w:bookmarkStart w:id="20" w:name="_Toc515678556"/>
      <w:r>
        <w:rPr>
          <w:rFonts w:asciiTheme="minorEastAsia" w:hAnsiTheme="minorEastAsia" w:cstheme="minorEastAsia" w:hint="eastAsia"/>
          <w:sz w:val="24"/>
          <w:szCs w:val="24"/>
        </w:rPr>
        <w:t xml:space="preserve">噪音控制 </w:t>
      </w:r>
    </w:p>
    <w:p w:rsidR="003B64CC" w:rsidRDefault="00FF3A92">
      <w:pPr>
        <w:numPr>
          <w:ilvl w:val="0"/>
          <w:numId w:val="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报价方提供的阀门应符合本规范书所要求的阀门噪声水平：在距离阀门外壳1m处的噪音应不超过85dB(A)。</w:t>
      </w:r>
    </w:p>
    <w:p w:rsidR="003B64CC" w:rsidRDefault="00FF3A92">
      <w:pPr>
        <w:numPr>
          <w:ilvl w:val="0"/>
          <w:numId w:val="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若报价方提供的阀门噪音水平超过上述允许极限，报价方应采取降低噪音的措施并提供给采购方确认。</w:t>
      </w:r>
    </w:p>
    <w:p w:rsidR="003B64CC" w:rsidRDefault="00FF3A92">
      <w:pPr>
        <w:numPr>
          <w:ilvl w:val="0"/>
          <w:numId w:val="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报价方某一阀门噪音超过采购方要求数值，应采取降低噪音的措施，若实施降低噪音措施仍无法满足允许极限噪声，采购方有权退货处理。</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清理</w:t>
      </w:r>
    </w:p>
    <w:p w:rsidR="003B64CC" w:rsidRDefault="00FF3A92">
      <w:pPr>
        <w:numPr>
          <w:ilvl w:val="0"/>
          <w:numId w:val="8"/>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所有杂物(如金属屑、焊渣等)应从每个部件的内部清出。所有磨碎物、锈斑、油、脂、粉尘等有害物质应从阀门内、外表面清除干净。确保出厂发运时阀门内、外表面清洁干净。</w:t>
      </w:r>
    </w:p>
    <w:p w:rsidR="003B64CC" w:rsidRDefault="00FF3A92">
      <w:pPr>
        <w:numPr>
          <w:ilvl w:val="0"/>
          <w:numId w:val="8"/>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当采用化学清洗时，严禁阀体有任何凹坑或其它损伤。</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 表面处理、油漆</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报价方应根据设备不同表面进行处理或油漆，对设备表面处理的方式予以说明，对需油漆的设备，出厂前应喷涂二层底漆一层面漆，油漆应考虑海边防盐雾要求并适应安装地点的环境条件。</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设备在包装前应完全干燥，清除零部件内部的所有杂物，内外表面不应有痕迹，所有开孔及法兰接口等应加以保护，防止设备在运输、贮存期间被损害、腐蚀或进入杂质。</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lastRenderedPageBreak/>
        <w:t>报价方应提供防腐的完整说明。</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提供的设备部件，除特殊部件外（如管件等），均应遵照国家标准和有关包装的技术条件进行包装。采取防雨，防潮，防锈，防震等措施，以免在运输和储存过程遭受腐蚀和损伤。或按照最好的商业惯例，使用坚固的箱子进行包装，并应根据不同货物的特性及要求，采取措施。以保证从交货起18个月内设备完整无损。</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所提供技术文件应妥善包装，能承受长途运输和多次搬运，并应防止潮气和雨水的侵蚀。每个技术文件邮包应装有详细目录清单。每个包装件必须有与该包装件相符的装箱单1份（另1份邮寄）放置于适当位置，并采用防潮密封包装。</w:t>
      </w:r>
    </w:p>
    <w:p w:rsidR="003B64CC" w:rsidRDefault="00FF3A92">
      <w:pPr>
        <w:numPr>
          <w:ilvl w:val="0"/>
          <w:numId w:val="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当阀门出厂时水压试验用</w:t>
      </w:r>
      <w:proofErr w:type="gramStart"/>
      <w:r>
        <w:rPr>
          <w:rFonts w:asciiTheme="minorEastAsia" w:hAnsiTheme="minorEastAsia" w:cstheme="minorEastAsia" w:hint="eastAsia"/>
          <w:sz w:val="24"/>
          <w:szCs w:val="24"/>
        </w:rPr>
        <w:t>阀塞应</w:t>
      </w:r>
      <w:proofErr w:type="gramEnd"/>
      <w:r>
        <w:rPr>
          <w:rFonts w:asciiTheme="minorEastAsia" w:hAnsiTheme="minorEastAsia" w:cstheme="minorEastAsia" w:hint="eastAsia"/>
          <w:sz w:val="24"/>
          <w:szCs w:val="24"/>
        </w:rPr>
        <w:t>安装于阀体内，阀芯保存于防腐剂中，并同阀体一同送达现场。</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标志</w:t>
      </w:r>
    </w:p>
    <w:p w:rsidR="003B64CC" w:rsidRDefault="00FF3A92">
      <w:pPr>
        <w:numPr>
          <w:ilvl w:val="0"/>
          <w:numId w:val="10"/>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每只阀门都应装设用耐腐蚀材料制作的标识和铭牌，在运输和使用过程中应确保这些标识和铭牌不被损坏。</w:t>
      </w:r>
    </w:p>
    <w:p w:rsidR="003B64CC" w:rsidRDefault="00FF3A92">
      <w:pPr>
        <w:numPr>
          <w:ilvl w:val="0"/>
          <w:numId w:val="10"/>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阀门出厂时应有明显的金属铭牌，铭牌上至少载明下列各项：</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阀门型式，规格</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制造厂名，制造许可证编号</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产品编号</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出厂年月</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公称压力（</w:t>
      </w:r>
      <w:proofErr w:type="spellStart"/>
      <w:r>
        <w:rPr>
          <w:rFonts w:asciiTheme="minorEastAsia" w:hAnsiTheme="minorEastAsia" w:cstheme="minorEastAsia" w:hint="eastAsia"/>
          <w:sz w:val="24"/>
          <w:szCs w:val="24"/>
        </w:rPr>
        <w:t>MPa</w:t>
      </w:r>
      <w:proofErr w:type="spellEnd"/>
      <w:r>
        <w:rPr>
          <w:rFonts w:asciiTheme="minorEastAsia" w:hAnsiTheme="minorEastAsia" w:cstheme="minorEastAsia" w:hint="eastAsia"/>
          <w:sz w:val="24"/>
          <w:szCs w:val="24"/>
        </w:rPr>
        <w:t>）</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适用温度（℃）介质</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阀门喉径（mm）</w:t>
      </w:r>
    </w:p>
    <w:p w:rsidR="003B64CC" w:rsidRDefault="00FF3A92">
      <w:pPr>
        <w:numPr>
          <w:ilvl w:val="0"/>
          <w:numId w:val="1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检验合格标记，</w:t>
      </w:r>
      <w:proofErr w:type="gramStart"/>
      <w:r>
        <w:rPr>
          <w:rFonts w:asciiTheme="minorEastAsia" w:hAnsiTheme="minorEastAsia" w:cstheme="minorEastAsia" w:hint="eastAsia"/>
          <w:sz w:val="24"/>
          <w:szCs w:val="24"/>
        </w:rPr>
        <w:t>监验标记</w:t>
      </w:r>
      <w:proofErr w:type="gramEnd"/>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包装标志</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 报价方所供设备的包装，都标明合同号、主要设备名称的标签。</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对装箱供给的设备，应在箱子的两面注明如下内容：</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合同号；装运标志；目的港；收货人代码；设备名称和项目号；箱号；毛/净重；外形尺寸；长×宽×高。</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运输作业标志（包括防潮、防震、放置位置方向、重心位置、绳索固定部位等）。</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设备存放和保管要求等级。</w:t>
      </w:r>
    </w:p>
    <w:p w:rsidR="003B64CC" w:rsidRDefault="00FF3A92">
      <w:pPr>
        <w:numPr>
          <w:ilvl w:val="0"/>
          <w:numId w:val="1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备品备件、专用工具应单独包装和发运，并特别注明。</w:t>
      </w:r>
    </w:p>
    <w:p w:rsidR="003B64CC" w:rsidRDefault="00FF3A92">
      <w:pPr>
        <w:numPr>
          <w:ilvl w:val="0"/>
          <w:numId w:val="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运输</w:t>
      </w:r>
    </w:p>
    <w:p w:rsidR="003B64CC" w:rsidRDefault="00FF3A92">
      <w:pPr>
        <w:tabs>
          <w:tab w:val="left" w:pos="0"/>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ab/>
        <w:t>部件重量和体积的限值应按有关运输方式的规定。</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21" w:name="_Toc30737"/>
      <w:bookmarkStart w:id="22" w:name="_Toc66848112"/>
      <w:bookmarkStart w:id="23" w:name="_Toc853"/>
      <w:bookmarkStart w:id="24" w:name="_Toc18767"/>
      <w:bookmarkStart w:id="25" w:name="_Toc13611"/>
      <w:bookmarkStart w:id="26" w:name="_Toc381625546"/>
      <w:r>
        <w:rPr>
          <w:rFonts w:asciiTheme="minorEastAsia" w:hAnsiTheme="minorEastAsia" w:cstheme="minorEastAsia" w:hint="eastAsia"/>
          <w:sz w:val="24"/>
          <w:szCs w:val="24"/>
        </w:rPr>
        <w:t>供货范围</w:t>
      </w:r>
      <w:bookmarkEnd w:id="19"/>
      <w:bookmarkEnd w:id="20"/>
      <w:bookmarkEnd w:id="21"/>
      <w:bookmarkEnd w:id="22"/>
      <w:bookmarkEnd w:id="23"/>
      <w:bookmarkEnd w:id="24"/>
      <w:bookmarkEnd w:id="25"/>
      <w:bookmarkEnd w:id="26"/>
    </w:p>
    <w:p w:rsidR="003B64CC" w:rsidRDefault="00FF3A92">
      <w:pPr>
        <w:numPr>
          <w:ilvl w:val="0"/>
          <w:numId w:val="1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报价方按照供货清单及供货范围内的阀门进行供货。</w:t>
      </w:r>
    </w:p>
    <w:p w:rsidR="003B64CC" w:rsidRDefault="00FF3A92">
      <w:pPr>
        <w:numPr>
          <w:ilvl w:val="0"/>
          <w:numId w:val="1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lastRenderedPageBreak/>
        <w:t>供货清单中依次说明型号、数量、产地、生产厂家等内容，所有</w:t>
      </w:r>
      <w:proofErr w:type="gramStart"/>
      <w:r>
        <w:rPr>
          <w:rFonts w:asciiTheme="minorEastAsia" w:hAnsiTheme="minorEastAsia" w:cstheme="minorEastAsia" w:hint="eastAsia"/>
          <w:sz w:val="24"/>
          <w:szCs w:val="24"/>
        </w:rPr>
        <w:t>外购件需得到</w:t>
      </w:r>
      <w:proofErr w:type="gramEnd"/>
      <w:r>
        <w:rPr>
          <w:rFonts w:asciiTheme="minorEastAsia" w:hAnsiTheme="minorEastAsia" w:cstheme="minorEastAsia" w:hint="eastAsia"/>
          <w:sz w:val="24"/>
          <w:szCs w:val="24"/>
        </w:rPr>
        <w:t>采购方的确认。</w:t>
      </w:r>
    </w:p>
    <w:p w:rsidR="003B64CC" w:rsidRDefault="00FF3A92">
      <w:pPr>
        <w:numPr>
          <w:ilvl w:val="0"/>
          <w:numId w:val="13"/>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供货范围应包括使所有阀门达到技术、性能要求所必须的设备和零部件，包括但不限于下列各项：供货清单标中所列的阀门本体及附件。  </w:t>
      </w:r>
    </w:p>
    <w:p w:rsidR="003B64CC" w:rsidRDefault="00FF3A92">
      <w:pPr>
        <w:tabs>
          <w:tab w:val="left" w:pos="0"/>
          <w:tab w:val="left" w:pos="600"/>
        </w:tabs>
        <w:adjustRightInd w:val="0"/>
        <w:snapToGrid w:val="0"/>
        <w:spacing w:line="400" w:lineRule="atLeast"/>
        <w:jc w:val="center"/>
        <w:rPr>
          <w:rFonts w:asciiTheme="minorEastAsia" w:hAnsiTheme="minorEastAsia" w:cstheme="minorEastAsia"/>
          <w:b/>
          <w:bCs/>
          <w:sz w:val="24"/>
          <w:szCs w:val="24"/>
        </w:rPr>
      </w:pPr>
      <w:r>
        <w:rPr>
          <w:rFonts w:asciiTheme="minorEastAsia" w:hAnsiTheme="minorEastAsia" w:cstheme="minorEastAsia" w:hint="eastAsia"/>
          <w:sz w:val="24"/>
          <w:szCs w:val="24"/>
        </w:rPr>
        <w:t>供货清单表</w:t>
      </w:r>
    </w:p>
    <w:tbl>
      <w:tblPr>
        <w:tblW w:w="4997" w:type="pct"/>
        <w:jc w:val="center"/>
        <w:tblCellMar>
          <w:top w:w="15" w:type="dxa"/>
          <w:left w:w="15" w:type="dxa"/>
          <w:bottom w:w="15" w:type="dxa"/>
          <w:right w:w="15" w:type="dxa"/>
        </w:tblCellMar>
        <w:tblLook w:val="04A0" w:firstRow="1" w:lastRow="0" w:firstColumn="1" w:lastColumn="0" w:noHBand="0" w:noVBand="1"/>
      </w:tblPr>
      <w:tblGrid>
        <w:gridCol w:w="710"/>
        <w:gridCol w:w="1738"/>
        <w:gridCol w:w="3801"/>
        <w:gridCol w:w="932"/>
        <w:gridCol w:w="926"/>
        <w:gridCol w:w="955"/>
      </w:tblGrid>
      <w:tr w:rsidR="003B64CC">
        <w:trPr>
          <w:trHeight w:val="283"/>
          <w:tblHeader/>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
                <w:sz w:val="24"/>
                <w:szCs w:val="24"/>
                <w:lang w:bidi="ar"/>
              </w:rPr>
            </w:pPr>
            <w:r>
              <w:rPr>
                <w:rFonts w:asciiTheme="minorEastAsia" w:hAnsiTheme="minorEastAsia" w:cstheme="minorEastAsia" w:hint="eastAsia"/>
                <w:b/>
                <w:sz w:val="24"/>
                <w:szCs w:val="24"/>
                <w:lang w:bidi="ar"/>
              </w:rPr>
              <w:t>序号</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textAlignment w:val="center"/>
              <w:rPr>
                <w:rFonts w:asciiTheme="minorEastAsia" w:hAnsiTheme="minorEastAsia" w:cstheme="minorEastAsia"/>
                <w:b/>
                <w:sz w:val="24"/>
                <w:szCs w:val="24"/>
                <w:lang w:bidi="ar"/>
              </w:rPr>
            </w:pPr>
            <w:r>
              <w:rPr>
                <w:rFonts w:asciiTheme="minorEastAsia" w:hAnsiTheme="minorEastAsia" w:cstheme="minorEastAsia" w:hint="eastAsia"/>
                <w:b/>
                <w:sz w:val="24"/>
                <w:szCs w:val="24"/>
                <w:lang w:bidi="ar"/>
              </w:rPr>
              <w:t>名称</w:t>
            </w:r>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textAlignment w:val="center"/>
              <w:rPr>
                <w:rFonts w:asciiTheme="minorEastAsia" w:hAnsiTheme="minorEastAsia" w:cstheme="minorEastAsia"/>
                <w:b/>
                <w:sz w:val="24"/>
                <w:szCs w:val="24"/>
                <w:lang w:bidi="ar"/>
              </w:rPr>
            </w:pPr>
            <w:r>
              <w:rPr>
                <w:rFonts w:asciiTheme="minorEastAsia" w:hAnsiTheme="minorEastAsia" w:cstheme="minorEastAsia" w:hint="eastAsia"/>
                <w:b/>
                <w:sz w:val="24"/>
                <w:szCs w:val="24"/>
              </w:rPr>
              <w:t>型号规格</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
                <w:sz w:val="24"/>
                <w:szCs w:val="24"/>
                <w:lang w:bidi="ar"/>
              </w:rPr>
            </w:pPr>
            <w:r>
              <w:rPr>
                <w:rFonts w:asciiTheme="minorEastAsia" w:hAnsiTheme="minorEastAsia" w:cstheme="minorEastAsia" w:hint="eastAsia"/>
                <w:b/>
                <w:sz w:val="24"/>
                <w:szCs w:val="24"/>
                <w:lang w:bidi="ar"/>
              </w:rPr>
              <w:t>制造商</w:t>
            </w: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
                <w:sz w:val="24"/>
                <w:szCs w:val="24"/>
                <w:lang w:bidi="ar"/>
              </w:rPr>
            </w:pPr>
            <w:r>
              <w:rPr>
                <w:rFonts w:asciiTheme="minorEastAsia" w:hAnsiTheme="minorEastAsia" w:cstheme="minorEastAsia" w:hint="eastAsia"/>
                <w:b/>
                <w:sz w:val="24"/>
                <w:szCs w:val="24"/>
                <w:lang w:bidi="ar"/>
              </w:rPr>
              <w:t>数量</w:t>
            </w:r>
          </w:p>
        </w:tc>
        <w:tc>
          <w:tcPr>
            <w:tcW w:w="527"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
                <w:sz w:val="24"/>
                <w:szCs w:val="24"/>
                <w:lang w:bidi="ar"/>
              </w:rPr>
            </w:pPr>
            <w:r>
              <w:rPr>
                <w:rFonts w:asciiTheme="minorEastAsia" w:hAnsiTheme="minorEastAsia" w:cstheme="minorEastAsia" w:hint="eastAsia"/>
                <w:b/>
                <w:sz w:val="24"/>
                <w:szCs w:val="24"/>
                <w:lang w:bidi="ar"/>
              </w:rPr>
              <w:t>备注</w:t>
            </w:r>
          </w:p>
        </w:tc>
      </w:tr>
      <w:tr w:rsidR="003B64CC">
        <w:trPr>
          <w:trHeight w:val="510"/>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1</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焊接式</w:t>
            </w:r>
            <w:proofErr w:type="gramStart"/>
            <w:r>
              <w:rPr>
                <w:rFonts w:asciiTheme="minorEastAsia" w:hAnsiTheme="minorEastAsia" w:cstheme="minorEastAsia" w:hint="eastAsia"/>
                <w:sz w:val="24"/>
                <w:szCs w:val="24"/>
              </w:rPr>
              <w:t>闸阀门</w:t>
            </w:r>
            <w:proofErr w:type="gramEnd"/>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Z61Y-100I，PN10，DN150，≥540℃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2</w:t>
            </w:r>
          </w:p>
        </w:tc>
        <w:tc>
          <w:tcPr>
            <w:tcW w:w="527" w:type="pct"/>
            <w:tcBorders>
              <w:top w:val="single" w:sz="4" w:space="0" w:color="000000"/>
              <w:left w:val="single" w:sz="4" w:space="0" w:color="000000"/>
              <w:bottom w:val="single" w:sz="4" w:space="0" w:color="000000"/>
              <w:right w:val="single" w:sz="4" w:space="0" w:color="000000"/>
            </w:tcBorders>
          </w:tcPr>
          <w:p w:rsidR="003B64CC" w:rsidRDefault="003B64CC">
            <w:pPr>
              <w:adjustRightInd w:val="0"/>
              <w:snapToGrid w:val="0"/>
              <w:spacing w:line="400" w:lineRule="atLeast"/>
              <w:jc w:val="center"/>
              <w:rPr>
                <w:rFonts w:asciiTheme="minorEastAsia" w:hAnsiTheme="minorEastAsia" w:cstheme="minorEastAsia"/>
                <w:bCs/>
                <w:sz w:val="24"/>
                <w:szCs w:val="24"/>
                <w:lang w:bidi="ar"/>
              </w:rPr>
            </w:pPr>
          </w:p>
        </w:tc>
      </w:tr>
      <w:tr w:rsidR="003B64CC">
        <w:trPr>
          <w:trHeight w:val="510"/>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2</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焊接式</w:t>
            </w:r>
            <w:proofErr w:type="gramStart"/>
            <w:r>
              <w:rPr>
                <w:rFonts w:asciiTheme="minorEastAsia" w:hAnsiTheme="minorEastAsia" w:cstheme="minorEastAsia" w:hint="eastAsia"/>
                <w:sz w:val="24"/>
                <w:szCs w:val="24"/>
              </w:rPr>
              <w:t>闸阀门</w:t>
            </w:r>
            <w:proofErr w:type="gramEnd"/>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Z61Y-100I，PN10，DN200，≥540℃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2</w:t>
            </w:r>
          </w:p>
        </w:tc>
        <w:tc>
          <w:tcPr>
            <w:tcW w:w="527" w:type="pct"/>
            <w:tcBorders>
              <w:top w:val="single" w:sz="4" w:space="0" w:color="000000"/>
              <w:left w:val="single" w:sz="4" w:space="0" w:color="000000"/>
              <w:bottom w:val="single" w:sz="4" w:space="0" w:color="000000"/>
              <w:right w:val="single" w:sz="4" w:space="0" w:color="000000"/>
            </w:tcBorders>
          </w:tcPr>
          <w:p w:rsidR="003B64CC" w:rsidRDefault="003B64CC">
            <w:pPr>
              <w:adjustRightInd w:val="0"/>
              <w:snapToGrid w:val="0"/>
              <w:spacing w:line="400" w:lineRule="atLeast"/>
              <w:jc w:val="center"/>
              <w:rPr>
                <w:rFonts w:asciiTheme="minorEastAsia" w:hAnsiTheme="minorEastAsia" w:cstheme="minorEastAsia"/>
                <w:bCs/>
                <w:sz w:val="24"/>
                <w:szCs w:val="24"/>
                <w:lang w:bidi="ar"/>
              </w:rPr>
            </w:pPr>
          </w:p>
        </w:tc>
      </w:tr>
      <w:tr w:rsidR="003B64CC">
        <w:trPr>
          <w:trHeight w:val="285"/>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3</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焊接式</w:t>
            </w:r>
            <w:proofErr w:type="gramStart"/>
            <w:r>
              <w:rPr>
                <w:rFonts w:asciiTheme="minorEastAsia" w:hAnsiTheme="minorEastAsia" w:cstheme="minorEastAsia" w:hint="eastAsia"/>
                <w:sz w:val="24"/>
                <w:szCs w:val="24"/>
              </w:rPr>
              <w:t>闸阀门</w:t>
            </w:r>
            <w:proofErr w:type="gramEnd"/>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Z562Y-P54-100V，PN10，DN250，≥540℃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1</w:t>
            </w:r>
          </w:p>
        </w:tc>
        <w:tc>
          <w:tcPr>
            <w:tcW w:w="527"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r>
      <w:tr w:rsidR="003B64CC">
        <w:trPr>
          <w:trHeight w:val="510"/>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4</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焊接式电动闸阀</w:t>
            </w:r>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Z961Y-100I，PN10，DN200，≥540℃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1</w:t>
            </w:r>
          </w:p>
        </w:tc>
        <w:tc>
          <w:tcPr>
            <w:tcW w:w="527"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不含电动执行机构</w:t>
            </w:r>
          </w:p>
        </w:tc>
      </w:tr>
      <w:tr w:rsidR="003B64CC">
        <w:trPr>
          <w:trHeight w:val="490"/>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5</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手动闸阀</w:t>
            </w:r>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Z41Y-100I，PN10，DN150，≥540℃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2</w:t>
            </w:r>
          </w:p>
        </w:tc>
        <w:tc>
          <w:tcPr>
            <w:tcW w:w="527"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r>
      <w:tr w:rsidR="003B64CC">
        <w:trPr>
          <w:trHeight w:val="526"/>
          <w:jc w:val="center"/>
        </w:trPr>
        <w:tc>
          <w:tcPr>
            <w:tcW w:w="39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6</w:t>
            </w:r>
          </w:p>
        </w:tc>
        <w:tc>
          <w:tcPr>
            <w:tcW w:w="959"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电动截止阀</w:t>
            </w:r>
          </w:p>
        </w:tc>
        <w:tc>
          <w:tcPr>
            <w:tcW w:w="2096"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 xml:space="preserve">KJ941H-100C，PN10，DN50，≥425℃ </w:t>
            </w:r>
          </w:p>
        </w:tc>
        <w:tc>
          <w:tcPr>
            <w:tcW w:w="514" w:type="pct"/>
            <w:tcBorders>
              <w:top w:val="single" w:sz="4" w:space="0" w:color="000000"/>
              <w:left w:val="single" w:sz="4" w:space="0" w:color="000000"/>
              <w:bottom w:val="single" w:sz="4" w:space="0" w:color="000000"/>
              <w:right w:val="single" w:sz="4" w:space="0" w:color="000000"/>
            </w:tcBorders>
            <w:vAlign w:val="center"/>
          </w:tcPr>
          <w:p w:rsidR="003B64CC" w:rsidRDefault="003B64CC">
            <w:pPr>
              <w:widowControl/>
              <w:adjustRightInd w:val="0"/>
              <w:snapToGrid w:val="0"/>
              <w:spacing w:line="400" w:lineRule="atLeast"/>
              <w:jc w:val="center"/>
              <w:textAlignment w:val="center"/>
              <w:rPr>
                <w:rFonts w:asciiTheme="minorEastAsia" w:hAnsiTheme="minorEastAsia" w:cstheme="minorEastAsia"/>
                <w:bCs/>
                <w:sz w:val="24"/>
                <w:szCs w:val="24"/>
                <w:lang w:bidi="ar"/>
              </w:rPr>
            </w:pPr>
          </w:p>
        </w:tc>
        <w:tc>
          <w:tcPr>
            <w:tcW w:w="511"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rPr>
                <w:rFonts w:asciiTheme="minorEastAsia" w:hAnsiTheme="minorEastAsia" w:cstheme="minorEastAsia"/>
                <w:bCs/>
                <w:sz w:val="24"/>
                <w:szCs w:val="24"/>
                <w:lang w:bidi="ar"/>
              </w:rPr>
            </w:pPr>
            <w:r>
              <w:rPr>
                <w:rFonts w:asciiTheme="minorEastAsia" w:hAnsiTheme="minorEastAsia" w:cstheme="minorEastAsia" w:hint="eastAsia"/>
                <w:bCs/>
                <w:sz w:val="24"/>
                <w:szCs w:val="24"/>
                <w:lang w:bidi="ar"/>
              </w:rPr>
              <w:t>2</w:t>
            </w:r>
          </w:p>
        </w:tc>
        <w:tc>
          <w:tcPr>
            <w:tcW w:w="527" w:type="pct"/>
            <w:tcBorders>
              <w:top w:val="single" w:sz="4" w:space="0" w:color="000000"/>
              <w:left w:val="single" w:sz="4" w:space="0" w:color="000000"/>
              <w:bottom w:val="single" w:sz="4" w:space="0" w:color="000000"/>
              <w:right w:val="single" w:sz="4" w:space="0" w:color="000000"/>
            </w:tcBorders>
            <w:vAlign w:val="center"/>
          </w:tcPr>
          <w:p w:rsidR="003B64CC" w:rsidRDefault="00FF3A92">
            <w:pPr>
              <w:widowControl/>
              <w:adjustRightInd w:val="0"/>
              <w:snapToGrid w:val="0"/>
              <w:spacing w:line="400" w:lineRule="atLeast"/>
              <w:jc w:val="center"/>
              <w:textAlignment w:val="center"/>
              <w:rPr>
                <w:rFonts w:asciiTheme="minorEastAsia" w:hAnsiTheme="minorEastAsia" w:cstheme="minorEastAsia"/>
                <w:bCs/>
                <w:sz w:val="24"/>
                <w:szCs w:val="24"/>
                <w:lang w:bidi="ar"/>
              </w:rPr>
            </w:pPr>
            <w:r>
              <w:rPr>
                <w:rFonts w:asciiTheme="minorEastAsia" w:hAnsiTheme="minorEastAsia" w:cstheme="minorEastAsia" w:hint="eastAsia"/>
                <w:sz w:val="24"/>
                <w:szCs w:val="24"/>
              </w:rPr>
              <w:t>不含电动执行机构</w:t>
            </w:r>
          </w:p>
        </w:tc>
      </w:tr>
    </w:tbl>
    <w:p w:rsidR="003B64CC" w:rsidRDefault="00FF3A92">
      <w:pPr>
        <w:numPr>
          <w:ilvl w:val="0"/>
          <w:numId w:val="13"/>
        </w:numPr>
        <w:tabs>
          <w:tab w:val="left" w:pos="600"/>
        </w:tabs>
        <w:adjustRightInd w:val="0"/>
        <w:snapToGrid w:val="0"/>
        <w:spacing w:line="400" w:lineRule="atLeast"/>
        <w:rPr>
          <w:rFonts w:asciiTheme="minorEastAsia" w:hAnsiTheme="minorEastAsia" w:cstheme="minorEastAsia"/>
          <w:sz w:val="24"/>
          <w:szCs w:val="24"/>
        </w:rPr>
      </w:pPr>
      <w:bookmarkStart w:id="27" w:name="_Toc19444"/>
      <w:bookmarkStart w:id="28" w:name="_Toc22942"/>
      <w:bookmarkStart w:id="29" w:name="_Toc13179"/>
      <w:bookmarkStart w:id="30" w:name="_Toc464817961"/>
      <w:r>
        <w:rPr>
          <w:rFonts w:asciiTheme="minorEastAsia" w:hAnsiTheme="minorEastAsia" w:cstheme="minorEastAsia" w:hint="eastAsia"/>
          <w:sz w:val="24"/>
          <w:szCs w:val="24"/>
        </w:rPr>
        <w:t>到货时间</w:t>
      </w:r>
      <w:bookmarkEnd w:id="27"/>
      <w:bookmarkEnd w:id="28"/>
      <w:bookmarkEnd w:id="29"/>
      <w:bookmarkEnd w:id="30"/>
    </w:p>
    <w:p w:rsidR="003B64CC" w:rsidRDefault="00FF3A92">
      <w:pPr>
        <w:tabs>
          <w:tab w:val="left" w:pos="0"/>
          <w:tab w:val="left" w:pos="600"/>
        </w:tabs>
        <w:adjustRightInd w:val="0"/>
        <w:snapToGrid w:val="0"/>
        <w:spacing w:line="400" w:lineRule="atLeast"/>
        <w:ind w:firstLineChars="200" w:firstLine="480"/>
        <w:rPr>
          <w:rFonts w:asciiTheme="minorEastAsia" w:hAnsiTheme="minorEastAsia" w:cstheme="minorEastAsia"/>
          <w:sz w:val="24"/>
          <w:szCs w:val="24"/>
        </w:rPr>
      </w:pPr>
      <w:r>
        <w:rPr>
          <w:rFonts w:asciiTheme="minorEastAsia" w:hAnsiTheme="minorEastAsia" w:cstheme="minorEastAsia" w:hint="eastAsia"/>
          <w:sz w:val="24"/>
          <w:szCs w:val="24"/>
        </w:rPr>
        <w:t>货物运抵采购</w:t>
      </w:r>
      <w:proofErr w:type="gramStart"/>
      <w:r>
        <w:rPr>
          <w:rFonts w:asciiTheme="minorEastAsia" w:hAnsiTheme="minorEastAsia" w:cstheme="minorEastAsia" w:hint="eastAsia"/>
          <w:sz w:val="24"/>
          <w:szCs w:val="24"/>
        </w:rPr>
        <w:t>方现场</w:t>
      </w:r>
      <w:proofErr w:type="gramEnd"/>
      <w:r>
        <w:rPr>
          <w:rFonts w:asciiTheme="minorEastAsia" w:hAnsiTheme="minorEastAsia" w:cstheme="minorEastAsia" w:hint="eastAsia"/>
          <w:sz w:val="24"/>
          <w:szCs w:val="24"/>
        </w:rPr>
        <w:t>时间：用于生产对接的阀门于2020年  月  日发到现场。到货地点为采购方仓库或指定地点。</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31" w:name="_Toc7946"/>
      <w:bookmarkStart w:id="32" w:name="_Toc30927"/>
      <w:bookmarkStart w:id="33" w:name="_Toc381625547"/>
      <w:bookmarkStart w:id="34" w:name="_Toc515678526"/>
      <w:bookmarkStart w:id="35" w:name="_Toc14810"/>
      <w:bookmarkStart w:id="36" w:name="_Toc17176"/>
      <w:bookmarkStart w:id="37" w:name="_Toc66848113"/>
      <w:bookmarkStart w:id="38" w:name="_Toc515678557"/>
      <w:r>
        <w:rPr>
          <w:rFonts w:asciiTheme="minorEastAsia" w:hAnsiTheme="minorEastAsia" w:cstheme="minorEastAsia" w:hint="eastAsia"/>
          <w:sz w:val="24"/>
          <w:szCs w:val="24"/>
        </w:rPr>
        <w:t>质量保证及试验</w:t>
      </w:r>
      <w:bookmarkEnd w:id="31"/>
      <w:bookmarkEnd w:id="32"/>
      <w:bookmarkEnd w:id="33"/>
      <w:bookmarkEnd w:id="34"/>
      <w:bookmarkEnd w:id="35"/>
      <w:bookmarkEnd w:id="36"/>
      <w:bookmarkEnd w:id="37"/>
      <w:bookmarkEnd w:id="38"/>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阀门设计、制造等方面应遵照最新规范和标准</w:t>
      </w:r>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上述标准和规定仅提出了基本的技术要求。如果报价方提出了更经济合理的设计、材料、制造工艺等，同时又能使报价方提供的设备达到本技术协议之要求，并确保安全连续运行，在征得采购方同意后，报价方可以不全部使用上述标准和规定。</w:t>
      </w:r>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质量保证</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质量保修期：最后一批货物交货并经采购方出具货物接收证明后18个月或投入运行后12个月，以先到者为准。无论是否超过质量保修期，报价方均应对货物在正常条件下正常稳定运行时由于工艺或材料的缺陷而产生的故障负责。采购方签发质量保修期结束证明文件的条件：货物质量保修期结束，缺陷弥补完成后。</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报价方应向采购方提供一份质量管理和质量保证文件及使用的有关标准和规定的目录清单；并提供一份制作加工进度表(包括检查和试验)。</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对设备材料有影响的一切制造、加工工序、试验和检查操作，须接受报价方或采</w:t>
      </w:r>
      <w:r>
        <w:rPr>
          <w:rFonts w:asciiTheme="minorEastAsia" w:hAnsiTheme="minorEastAsia" w:cstheme="minorEastAsia" w:hint="eastAsia"/>
          <w:sz w:val="24"/>
          <w:szCs w:val="24"/>
        </w:rPr>
        <w:lastRenderedPageBreak/>
        <w:t>购方检查员的监督。</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对于设备在制造、加工和试验过程中不符合规程或标准的所有偏差，均应有文件记录，并且由报价方及时进行处理。</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报价方应为采购方提供双方直接参与制造和试验期间的注意事项，该事项在双方共同工作五天前提出。</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报价方提供有关质量保证的各项文件。这些文件包括：</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质量管理体系认证证书。</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压力管道元件制造许可证。</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产品检验合格证书（包括主要外购件）：表示全部设备和材料的供应是根据技术规范的要求和认可的误差。</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材料检验合格证书。</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水压试验报告。</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设备和材料加工制造中误差的文件记录和认可记录。</w:t>
      </w:r>
    </w:p>
    <w:p w:rsidR="003B64CC" w:rsidRDefault="00FF3A92">
      <w:pPr>
        <w:numPr>
          <w:ilvl w:val="0"/>
          <w:numId w:val="16"/>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产品使用说明书。</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在图纸设计和材料选择方面应准确无误，加工工艺无任何缺陷和差错，技术文件及图纸要清晰、正确、完整，能满足安装、起停、正常运行和维护的要求。</w:t>
      </w:r>
    </w:p>
    <w:p w:rsidR="003B64CC" w:rsidRDefault="00FF3A92">
      <w:pPr>
        <w:numPr>
          <w:ilvl w:val="0"/>
          <w:numId w:val="15"/>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所有阀门在施工现场应不需解体就可投入使用，如因阀门质量原因需要在施工现场解体维修，报价方应承</w:t>
      </w:r>
      <w:proofErr w:type="gramStart"/>
      <w:r>
        <w:rPr>
          <w:rFonts w:asciiTheme="minorEastAsia" w:hAnsiTheme="minorEastAsia" w:cstheme="minorEastAsia" w:hint="eastAsia"/>
          <w:sz w:val="24"/>
          <w:szCs w:val="24"/>
        </w:rPr>
        <w:t>担一切</w:t>
      </w:r>
      <w:proofErr w:type="gramEnd"/>
      <w:r>
        <w:rPr>
          <w:rFonts w:asciiTheme="minorEastAsia" w:hAnsiTheme="minorEastAsia" w:cstheme="minorEastAsia" w:hint="eastAsia"/>
          <w:sz w:val="24"/>
          <w:szCs w:val="24"/>
        </w:rPr>
        <w:t>费用。</w:t>
      </w:r>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试验</w:t>
      </w:r>
    </w:p>
    <w:p w:rsidR="003B64CC" w:rsidRDefault="00FF3A92">
      <w:pPr>
        <w:numPr>
          <w:ilvl w:val="0"/>
          <w:numId w:val="17"/>
        </w:numPr>
        <w:tabs>
          <w:tab w:val="left" w:pos="600"/>
        </w:tabs>
        <w:adjustRightInd w:val="0"/>
        <w:snapToGrid w:val="0"/>
        <w:spacing w:line="400" w:lineRule="atLeast"/>
        <w:rPr>
          <w:rFonts w:asciiTheme="minorEastAsia" w:hAnsiTheme="minorEastAsia" w:cstheme="minorEastAsia"/>
          <w:sz w:val="24"/>
          <w:szCs w:val="24"/>
        </w:rPr>
      </w:pPr>
      <w:bookmarkStart w:id="39" w:name="_Toc515678527"/>
      <w:bookmarkStart w:id="40" w:name="_Toc515678558"/>
      <w:r>
        <w:rPr>
          <w:rFonts w:asciiTheme="minorEastAsia" w:hAnsiTheme="minorEastAsia" w:cstheme="minorEastAsia" w:hint="eastAsia"/>
          <w:sz w:val="24"/>
          <w:szCs w:val="24"/>
        </w:rPr>
        <w:t>阀门应按照适用的规范和标准，应进行耐压强力试验、密封性能试验、气电信号控制行程试验等。报价方应说明工厂试验所用的标准、试验项目、试验压力、试验方式、试验验收标准以及对可能出现的问题所采取的措施。阀门作水压试验时，试验压力应为系统最大压力的1.5倍，持续时间为不少于20分钟。</w:t>
      </w:r>
    </w:p>
    <w:p w:rsidR="003B64CC" w:rsidRDefault="00FF3A92">
      <w:pPr>
        <w:numPr>
          <w:ilvl w:val="0"/>
          <w:numId w:val="1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所有的电动阀门应在最大工作压力下循环以确保阀门在规定时间内能平稳可靠地操作，其他的阀门应进行全开到全闭循环(</w:t>
      </w:r>
      <w:proofErr w:type="gramStart"/>
      <w:r>
        <w:rPr>
          <w:rFonts w:asciiTheme="minorEastAsia" w:hAnsiTheme="minorEastAsia" w:cstheme="minorEastAsia" w:hint="eastAsia"/>
          <w:sz w:val="24"/>
          <w:szCs w:val="24"/>
        </w:rPr>
        <w:t>减流试验</w:t>
      </w:r>
      <w:proofErr w:type="gramEnd"/>
      <w:r>
        <w:rPr>
          <w:rFonts w:asciiTheme="minorEastAsia" w:hAnsiTheme="minorEastAsia" w:cstheme="minorEastAsia" w:hint="eastAsia"/>
          <w:sz w:val="24"/>
          <w:szCs w:val="24"/>
        </w:rPr>
        <w:t>)。</w:t>
      </w:r>
    </w:p>
    <w:p w:rsidR="003B64CC" w:rsidRDefault="00FF3A92">
      <w:pPr>
        <w:numPr>
          <w:ilvl w:val="0"/>
          <w:numId w:val="1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发现有缺陷的阀门应进行修理并重新试验，钢板和铸件上的补焊应该按照原焊缝的检验方法和同样的质量标准进行检查。</w:t>
      </w:r>
    </w:p>
    <w:p w:rsidR="003B64CC" w:rsidRDefault="00FF3A92">
      <w:pPr>
        <w:numPr>
          <w:ilvl w:val="0"/>
          <w:numId w:val="1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对不锈钢零件(如果有)的水压试验，其使用水的氯化物含量不超过100ppm,对其它阀门的水压试验可用生活水。</w:t>
      </w:r>
    </w:p>
    <w:p w:rsidR="003B64CC" w:rsidRDefault="00FF3A92">
      <w:pPr>
        <w:numPr>
          <w:ilvl w:val="0"/>
          <w:numId w:val="17"/>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如果阀门进行补焊修理，则需重做相关试验。</w:t>
      </w:r>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如采购方参加产品出厂验收，报价方提供必要的便利。</w:t>
      </w:r>
    </w:p>
    <w:p w:rsidR="003B64CC" w:rsidRDefault="00FF3A92">
      <w:pPr>
        <w:numPr>
          <w:ilvl w:val="0"/>
          <w:numId w:val="14"/>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报价方在保证产品质量的前提下，必须满足采购方对供货周期的要求。</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41" w:name="_Toc66848114"/>
      <w:bookmarkStart w:id="42" w:name="_Toc5701"/>
      <w:bookmarkStart w:id="43" w:name="_Toc7199"/>
      <w:bookmarkStart w:id="44" w:name="_Toc18362"/>
      <w:bookmarkStart w:id="45" w:name="_Toc20011"/>
      <w:bookmarkStart w:id="46" w:name="_Toc381625548"/>
      <w:r>
        <w:rPr>
          <w:rFonts w:asciiTheme="minorEastAsia" w:hAnsiTheme="minorEastAsia" w:cstheme="minorEastAsia" w:hint="eastAsia"/>
          <w:sz w:val="24"/>
          <w:szCs w:val="24"/>
        </w:rPr>
        <w:t>技术文件</w:t>
      </w:r>
      <w:bookmarkEnd w:id="39"/>
      <w:bookmarkEnd w:id="40"/>
      <w:bookmarkEnd w:id="41"/>
      <w:bookmarkEnd w:id="42"/>
      <w:bookmarkEnd w:id="43"/>
      <w:bookmarkEnd w:id="44"/>
      <w:bookmarkEnd w:id="45"/>
      <w:bookmarkEnd w:id="46"/>
    </w:p>
    <w:p w:rsidR="003B64CC" w:rsidRDefault="00FF3A92">
      <w:pPr>
        <w:numPr>
          <w:ilvl w:val="0"/>
          <w:numId w:val="18"/>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一般要求</w:t>
      </w:r>
    </w:p>
    <w:p w:rsidR="003B64CC" w:rsidRDefault="00FF3A92">
      <w:pPr>
        <w:numPr>
          <w:ilvl w:val="0"/>
          <w:numId w:val="1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lastRenderedPageBreak/>
        <w:t>工程配合和资料交接均使用国际单位制，语言为中文，所有非中文资料均视为无效资料。电子版文字资料采用WORD格式，图纸资料采用AUTOCAD2004 格式。</w:t>
      </w:r>
    </w:p>
    <w:p w:rsidR="003B64CC" w:rsidRDefault="00FF3A92">
      <w:pPr>
        <w:numPr>
          <w:ilvl w:val="0"/>
          <w:numId w:val="1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资料的组织结构清晰、逻辑性强。资料内容正确、准确、一致、清晰完整，满足工程要求。</w:t>
      </w:r>
    </w:p>
    <w:p w:rsidR="003B64CC" w:rsidRDefault="00FF3A92">
      <w:pPr>
        <w:numPr>
          <w:ilvl w:val="0"/>
          <w:numId w:val="1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 报价</w:t>
      </w:r>
      <w:proofErr w:type="gramStart"/>
      <w:r>
        <w:rPr>
          <w:rFonts w:asciiTheme="minorEastAsia" w:hAnsiTheme="minorEastAsia" w:cstheme="minorEastAsia" w:hint="eastAsia"/>
          <w:sz w:val="24"/>
          <w:szCs w:val="24"/>
        </w:rPr>
        <w:t>方资料</w:t>
      </w:r>
      <w:proofErr w:type="gramEnd"/>
      <w:r>
        <w:rPr>
          <w:rFonts w:asciiTheme="minorEastAsia" w:hAnsiTheme="minorEastAsia" w:cstheme="minorEastAsia" w:hint="eastAsia"/>
          <w:sz w:val="24"/>
          <w:szCs w:val="24"/>
        </w:rPr>
        <w:t>的提交及时、充分，满足工程进度要求。提供</w:t>
      </w:r>
      <w:proofErr w:type="gramStart"/>
      <w:r>
        <w:rPr>
          <w:rFonts w:asciiTheme="minorEastAsia" w:hAnsiTheme="minorEastAsia" w:cstheme="minorEastAsia" w:hint="eastAsia"/>
          <w:sz w:val="24"/>
          <w:szCs w:val="24"/>
        </w:rPr>
        <w:t>最终版</w:t>
      </w:r>
      <w:proofErr w:type="gramEnd"/>
      <w:r>
        <w:rPr>
          <w:rFonts w:asciiTheme="minorEastAsia" w:hAnsiTheme="minorEastAsia" w:cstheme="minorEastAsia" w:hint="eastAsia"/>
          <w:sz w:val="24"/>
          <w:szCs w:val="24"/>
        </w:rPr>
        <w:t>的正式图纸的同时，提供正式的AUTOCAD电子文件，正式图纸必须加盖公章和签字。</w:t>
      </w:r>
    </w:p>
    <w:p w:rsidR="003B64CC" w:rsidRDefault="00FF3A92">
      <w:pPr>
        <w:numPr>
          <w:ilvl w:val="0"/>
          <w:numId w:val="19"/>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报价方所提交的技术资料内容至少应包括本规范中所要求的。如采购方在工程设计中需要本规范以外的资料，报价方应及时无偿地提供。</w:t>
      </w:r>
    </w:p>
    <w:p w:rsidR="003B64CC" w:rsidRDefault="00FF3A92">
      <w:pPr>
        <w:numPr>
          <w:ilvl w:val="0"/>
          <w:numId w:val="18"/>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成交供应商在供货时提交如下资料：</w:t>
      </w:r>
    </w:p>
    <w:p w:rsidR="003B64CC" w:rsidRDefault="00FF3A92">
      <w:pPr>
        <w:numPr>
          <w:ilvl w:val="0"/>
          <w:numId w:val="20"/>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阀门说明书。</w:t>
      </w:r>
    </w:p>
    <w:p w:rsidR="003B64CC" w:rsidRDefault="00FF3A92">
      <w:pPr>
        <w:numPr>
          <w:ilvl w:val="0"/>
          <w:numId w:val="20"/>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阀门及执行机构外形安装尺寸图、阀门所需的电源等级及容量等有关图纸和资料。</w:t>
      </w:r>
    </w:p>
    <w:p w:rsidR="003B64CC" w:rsidRDefault="00FF3A92">
      <w:pPr>
        <w:numPr>
          <w:ilvl w:val="0"/>
          <w:numId w:val="20"/>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为安装和检修用的易损件清单。</w:t>
      </w:r>
    </w:p>
    <w:p w:rsidR="003B64CC" w:rsidRDefault="00FF3A92">
      <w:pPr>
        <w:numPr>
          <w:ilvl w:val="0"/>
          <w:numId w:val="18"/>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报价方在产品完成后，向采购方提供以下随机技术文件给业主：</w:t>
      </w:r>
    </w:p>
    <w:p w:rsidR="003B64CC" w:rsidRDefault="00FF3A92">
      <w:pPr>
        <w:numPr>
          <w:ilvl w:val="0"/>
          <w:numId w:val="2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每个阀门的质量证明文件(包括原材料合格证和各种试验、检验合格证等)  </w:t>
      </w:r>
    </w:p>
    <w:p w:rsidR="003B64CC" w:rsidRDefault="00FF3A92">
      <w:pPr>
        <w:numPr>
          <w:ilvl w:val="0"/>
          <w:numId w:val="2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6.2中的文件。</w:t>
      </w:r>
    </w:p>
    <w:p w:rsidR="003B64CC" w:rsidRDefault="00FF3A92">
      <w:pPr>
        <w:numPr>
          <w:ilvl w:val="0"/>
          <w:numId w:val="2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装箱清单、合格证及其它必须的文件。</w:t>
      </w:r>
    </w:p>
    <w:p w:rsidR="003B64CC" w:rsidRDefault="00FF3A92">
      <w:pPr>
        <w:numPr>
          <w:ilvl w:val="0"/>
          <w:numId w:val="21"/>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 xml:space="preserve">阀门原产地证明。 </w:t>
      </w:r>
    </w:p>
    <w:p w:rsidR="003B64CC" w:rsidRDefault="00FF3A92">
      <w:pPr>
        <w:pStyle w:val="1"/>
        <w:numPr>
          <w:ilvl w:val="0"/>
          <w:numId w:val="2"/>
        </w:numPr>
        <w:tabs>
          <w:tab w:val="left" w:pos="420"/>
        </w:tabs>
        <w:adjustRightInd w:val="0"/>
        <w:snapToGrid w:val="0"/>
        <w:spacing w:before="0" w:after="0" w:line="400" w:lineRule="atLeast"/>
        <w:rPr>
          <w:rFonts w:asciiTheme="minorEastAsia" w:hAnsiTheme="minorEastAsia" w:cstheme="minorEastAsia"/>
          <w:sz w:val="24"/>
          <w:szCs w:val="24"/>
        </w:rPr>
      </w:pPr>
      <w:bookmarkStart w:id="47" w:name="_Toc66848115"/>
      <w:bookmarkStart w:id="48" w:name="_Toc7261"/>
      <w:bookmarkStart w:id="49" w:name="_Toc381625549"/>
      <w:bookmarkStart w:id="50" w:name="_Toc515678528"/>
      <w:bookmarkStart w:id="51" w:name="_Toc14259"/>
      <w:bookmarkStart w:id="52" w:name="_Toc19329"/>
      <w:bookmarkStart w:id="53" w:name="_Toc515678559"/>
      <w:bookmarkStart w:id="54" w:name="_Toc7693"/>
      <w:r>
        <w:rPr>
          <w:rFonts w:asciiTheme="minorEastAsia" w:hAnsiTheme="minorEastAsia" w:cstheme="minorEastAsia" w:hint="eastAsia"/>
          <w:sz w:val="24"/>
          <w:szCs w:val="24"/>
        </w:rPr>
        <w:t>技术服务</w:t>
      </w:r>
      <w:bookmarkEnd w:id="47"/>
      <w:bookmarkEnd w:id="48"/>
      <w:bookmarkEnd w:id="49"/>
      <w:bookmarkEnd w:id="50"/>
      <w:bookmarkEnd w:id="51"/>
      <w:bookmarkEnd w:id="52"/>
      <w:bookmarkEnd w:id="53"/>
      <w:bookmarkEnd w:id="54"/>
    </w:p>
    <w:p w:rsidR="003B64CC" w:rsidRDefault="00FF3A92">
      <w:pPr>
        <w:numPr>
          <w:ilvl w:val="0"/>
          <w:numId w:val="2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在需要时报价方应派代表到现场指导安装、调试和试运行，并负责解决阀门在安装、调试、试运行中发现的制造质量及性能指标等有关问题。</w:t>
      </w:r>
    </w:p>
    <w:p w:rsidR="003B64CC" w:rsidRDefault="00FF3A92">
      <w:pPr>
        <w:numPr>
          <w:ilvl w:val="0"/>
          <w:numId w:val="2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在质保期内的设计、制造等问题由报价方负责无偿修理或更换，并24h内响应到厂解决。</w:t>
      </w:r>
    </w:p>
    <w:p w:rsidR="003B64CC" w:rsidRDefault="00FF3A92">
      <w:pPr>
        <w:numPr>
          <w:ilvl w:val="0"/>
          <w:numId w:val="22"/>
        </w:numPr>
        <w:tabs>
          <w:tab w:val="left" w:pos="600"/>
        </w:tabs>
        <w:adjustRightInd w:val="0"/>
        <w:snapToGrid w:val="0"/>
        <w:spacing w:line="400" w:lineRule="atLeast"/>
        <w:rPr>
          <w:rFonts w:asciiTheme="minorEastAsia" w:hAnsiTheme="minorEastAsia" w:cstheme="minorEastAsia"/>
          <w:sz w:val="24"/>
          <w:szCs w:val="24"/>
        </w:rPr>
      </w:pPr>
      <w:r>
        <w:rPr>
          <w:rFonts w:asciiTheme="minorEastAsia" w:hAnsiTheme="minorEastAsia" w:cstheme="minorEastAsia" w:hint="eastAsia"/>
          <w:sz w:val="24"/>
          <w:szCs w:val="24"/>
        </w:rPr>
        <w:t>在合同产品的寿命期内，对非报价方责任造成的设备损坏，报价方有义务提供配件和修理；如属设备设计或制造缺陷引起的损坏，报价方应为采购方及时修理，并承担全部费用。报价方应长期以优惠价格向采购方提供备品备件。</w:t>
      </w:r>
    </w:p>
    <w:p w:rsidR="003B64CC" w:rsidRDefault="00FF3A92">
      <w:pPr>
        <w:jc w:val="left"/>
        <w:rPr>
          <w:rFonts w:asciiTheme="minorEastAsia" w:hAnsiTheme="minorEastAsia" w:cstheme="minorEastAsia"/>
          <w:b/>
          <w:bCs/>
          <w:sz w:val="24"/>
          <w:szCs w:val="24"/>
        </w:rPr>
      </w:pPr>
      <w:r>
        <w:rPr>
          <w:rFonts w:asciiTheme="minorEastAsia" w:hAnsiTheme="minorEastAsia" w:cstheme="minorEastAsia" w:hint="eastAsia"/>
          <w:b/>
          <w:bCs/>
          <w:sz w:val="24"/>
          <w:szCs w:val="24"/>
        </w:rPr>
        <w:t>8 其他</w:t>
      </w:r>
    </w:p>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8.1 本技术规范书将在供货合同签订时作为技术协议签订，与合同具有同等的法律效力。</w:t>
      </w:r>
    </w:p>
    <w:p w:rsidR="003B64CC" w:rsidRDefault="00FF3A92">
      <w:pPr>
        <w:jc w:val="left"/>
        <w:rPr>
          <w:rFonts w:asciiTheme="minorEastAsia" w:hAnsiTheme="minorEastAsia" w:cstheme="minorEastAsia"/>
          <w:sz w:val="24"/>
          <w:szCs w:val="24"/>
        </w:rPr>
      </w:pPr>
      <w:r>
        <w:rPr>
          <w:rFonts w:asciiTheme="minorEastAsia" w:hAnsiTheme="minorEastAsia" w:cstheme="minorEastAsia" w:hint="eastAsia"/>
          <w:sz w:val="24"/>
          <w:szCs w:val="24"/>
        </w:rPr>
        <w:t>8.2 未尽事宜或规范要求不适合，由双方友好协商解决。</w:t>
      </w: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ind w:firstLineChars="1700" w:firstLine="4080"/>
        <w:rPr>
          <w:rFonts w:asciiTheme="minorEastAsia" w:hAnsiTheme="minorEastAsia" w:cstheme="minorEastAsia"/>
          <w:sz w:val="24"/>
          <w:szCs w:val="24"/>
        </w:rPr>
      </w:pPr>
    </w:p>
    <w:p w:rsidR="003B64CC" w:rsidRDefault="003B64CC">
      <w:pPr>
        <w:rPr>
          <w:rFonts w:asciiTheme="minorEastAsia" w:hAnsiTheme="minorEastAsia" w:cstheme="minorEastAsia"/>
          <w:sz w:val="24"/>
          <w:szCs w:val="24"/>
        </w:rPr>
      </w:pPr>
    </w:p>
    <w:sectPr w:rsidR="003B64CC">
      <w:footerReference w:type="default" r:id="rId9"/>
      <w:pgSz w:w="11906" w:h="16838"/>
      <w:pgMar w:top="1440" w:right="1406" w:bottom="1440" w:left="146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89F" w:rsidRDefault="00EE289F">
      <w:r>
        <w:separator/>
      </w:r>
    </w:p>
  </w:endnote>
  <w:endnote w:type="continuationSeparator" w:id="0">
    <w:p w:rsidR="00EE289F" w:rsidRDefault="00EE2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4CC" w:rsidRDefault="00FF3A92">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B64CC" w:rsidRDefault="00FF3A92">
                          <w:pPr>
                            <w:pStyle w:val="a5"/>
                          </w:pPr>
                          <w:r>
                            <w:rPr>
                              <w:rFonts w:hint="eastAsia"/>
                            </w:rPr>
                            <w:fldChar w:fldCharType="begin"/>
                          </w:r>
                          <w:r>
                            <w:rPr>
                              <w:rFonts w:hint="eastAsia"/>
                            </w:rPr>
                            <w:instrText xml:space="preserve"> PAGE  \* MERGEFORMAT </w:instrText>
                          </w:r>
                          <w:r>
                            <w:rPr>
                              <w:rFonts w:hint="eastAsia"/>
                            </w:rPr>
                            <w:fldChar w:fldCharType="separate"/>
                          </w:r>
                          <w:r w:rsidR="00ED01A5">
                            <w:rPr>
                              <w:noProof/>
                            </w:rPr>
                            <w:t>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3B64CC" w:rsidRDefault="00FF3A92">
                    <w:pPr>
                      <w:pStyle w:val="a5"/>
                    </w:pPr>
                    <w:r>
                      <w:rPr>
                        <w:rFonts w:hint="eastAsia"/>
                      </w:rPr>
                      <w:fldChar w:fldCharType="begin"/>
                    </w:r>
                    <w:r>
                      <w:rPr>
                        <w:rFonts w:hint="eastAsia"/>
                      </w:rPr>
                      <w:instrText xml:space="preserve"> PAGE  \* MERGEFORMAT </w:instrText>
                    </w:r>
                    <w:r>
                      <w:rPr>
                        <w:rFonts w:hint="eastAsia"/>
                      </w:rPr>
                      <w:fldChar w:fldCharType="separate"/>
                    </w:r>
                    <w:r w:rsidR="00ED01A5">
                      <w:rPr>
                        <w:noProof/>
                      </w:rPr>
                      <w:t>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89F" w:rsidRDefault="00EE289F">
      <w:r>
        <w:separator/>
      </w:r>
    </w:p>
  </w:footnote>
  <w:footnote w:type="continuationSeparator" w:id="0">
    <w:p w:rsidR="00EE289F" w:rsidRDefault="00EE2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9F4C1B7"/>
    <w:multiLevelType w:val="singleLevel"/>
    <w:tmpl w:val="99F4C1B7"/>
    <w:lvl w:ilvl="0">
      <w:start w:val="1"/>
      <w:numFmt w:val="decimal"/>
      <w:suff w:val="nothing"/>
      <w:lvlText w:val="6.1.%1 "/>
      <w:lvlJc w:val="left"/>
      <w:pPr>
        <w:tabs>
          <w:tab w:val="left" w:pos="0"/>
        </w:tabs>
        <w:ind w:left="0" w:firstLine="0"/>
      </w:pPr>
      <w:rPr>
        <w:rFonts w:ascii="宋体" w:eastAsia="宋体" w:hAnsi="宋体" w:cs="宋体" w:hint="default"/>
      </w:rPr>
    </w:lvl>
  </w:abstractNum>
  <w:abstractNum w:abstractNumId="1">
    <w:nsid w:val="BBA00377"/>
    <w:multiLevelType w:val="singleLevel"/>
    <w:tmpl w:val="BBA0037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2">
    <w:nsid w:val="BEB8C685"/>
    <w:multiLevelType w:val="singleLevel"/>
    <w:tmpl w:val="BEB8C685"/>
    <w:lvl w:ilvl="0">
      <w:start w:val="1"/>
      <w:numFmt w:val="decimal"/>
      <w:suff w:val="nothing"/>
      <w:lvlText w:val="5.3.6.%1 "/>
      <w:lvlJc w:val="left"/>
      <w:pPr>
        <w:tabs>
          <w:tab w:val="left" w:pos="0"/>
        </w:tabs>
        <w:ind w:left="0" w:firstLine="0"/>
      </w:pPr>
      <w:rPr>
        <w:rFonts w:ascii="宋体" w:eastAsia="宋体" w:hAnsi="宋体" w:cs="宋体" w:hint="default"/>
      </w:rPr>
    </w:lvl>
  </w:abstractNum>
  <w:abstractNum w:abstractNumId="3">
    <w:nsid w:val="D76D1ED3"/>
    <w:multiLevelType w:val="singleLevel"/>
    <w:tmpl w:val="D76D1ED3"/>
    <w:lvl w:ilvl="0">
      <w:start w:val="1"/>
      <w:numFmt w:val="decimal"/>
      <w:suff w:val="nothing"/>
      <w:lvlText w:val="5.4.%1 "/>
      <w:lvlJc w:val="left"/>
      <w:pPr>
        <w:tabs>
          <w:tab w:val="left" w:pos="0"/>
        </w:tabs>
        <w:ind w:left="0" w:firstLine="0"/>
      </w:pPr>
      <w:rPr>
        <w:rFonts w:ascii="宋体" w:eastAsia="宋体" w:hAnsi="宋体" w:cs="宋体" w:hint="default"/>
      </w:rPr>
    </w:lvl>
  </w:abstractNum>
  <w:abstractNum w:abstractNumId="4">
    <w:nsid w:val="DFB4557C"/>
    <w:multiLevelType w:val="singleLevel"/>
    <w:tmpl w:val="DFB4557C"/>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5">
    <w:nsid w:val="E1B2C4B8"/>
    <w:multiLevelType w:val="singleLevel"/>
    <w:tmpl w:val="E1B2C4B8"/>
    <w:lvl w:ilvl="0">
      <w:start w:val="1"/>
      <w:numFmt w:val="decimal"/>
      <w:suff w:val="nothing"/>
      <w:lvlText w:val="3.4.%1 "/>
      <w:lvlJc w:val="left"/>
      <w:pPr>
        <w:tabs>
          <w:tab w:val="left" w:pos="0"/>
        </w:tabs>
        <w:ind w:left="0" w:firstLine="0"/>
      </w:pPr>
      <w:rPr>
        <w:rFonts w:ascii="宋体" w:eastAsia="宋体" w:hAnsi="宋体" w:cs="宋体" w:hint="default"/>
      </w:rPr>
    </w:lvl>
  </w:abstractNum>
  <w:abstractNum w:abstractNumId="6">
    <w:nsid w:val="ECBF0FEF"/>
    <w:multiLevelType w:val="singleLevel"/>
    <w:tmpl w:val="ECBF0FEF"/>
    <w:lvl w:ilvl="0">
      <w:start w:val="1"/>
      <w:numFmt w:val="decimal"/>
      <w:suff w:val="nothing"/>
      <w:lvlText w:val="3.6.%1 "/>
      <w:lvlJc w:val="left"/>
      <w:pPr>
        <w:tabs>
          <w:tab w:val="left" w:pos="0"/>
        </w:tabs>
        <w:ind w:left="0" w:firstLine="0"/>
      </w:pPr>
      <w:rPr>
        <w:rFonts w:ascii="宋体" w:eastAsia="宋体" w:hAnsi="宋体" w:cs="宋体" w:hint="default"/>
      </w:rPr>
    </w:lvl>
  </w:abstractNum>
  <w:abstractNum w:abstractNumId="7">
    <w:nsid w:val="EF9E2025"/>
    <w:multiLevelType w:val="singleLevel"/>
    <w:tmpl w:val="EF9E2025"/>
    <w:lvl w:ilvl="0">
      <w:start w:val="2"/>
      <w:numFmt w:val="decimal"/>
      <w:suff w:val="nothing"/>
      <w:lvlText w:val="%1、"/>
      <w:lvlJc w:val="left"/>
    </w:lvl>
  </w:abstractNum>
  <w:abstractNum w:abstractNumId="8">
    <w:nsid w:val="F6645429"/>
    <w:multiLevelType w:val="singleLevel"/>
    <w:tmpl w:val="F6645429"/>
    <w:lvl w:ilvl="0">
      <w:start w:val="1"/>
      <w:numFmt w:val="decimal"/>
      <w:suff w:val="nothing"/>
      <w:lvlText w:val="5.3.%1 "/>
      <w:lvlJc w:val="left"/>
      <w:pPr>
        <w:tabs>
          <w:tab w:val="left" w:pos="0"/>
        </w:tabs>
        <w:ind w:left="0" w:firstLine="0"/>
      </w:pPr>
      <w:rPr>
        <w:rFonts w:ascii="宋体" w:eastAsia="宋体" w:hAnsi="宋体" w:cs="宋体" w:hint="default"/>
      </w:rPr>
    </w:lvl>
  </w:abstractNum>
  <w:abstractNum w:abstractNumId="9">
    <w:nsid w:val="FB00A4C3"/>
    <w:multiLevelType w:val="singleLevel"/>
    <w:tmpl w:val="FB00A4C3"/>
    <w:lvl w:ilvl="0">
      <w:start w:val="1"/>
      <w:numFmt w:val="decimal"/>
      <w:suff w:val="nothing"/>
      <w:lvlText w:val="3.5.%1 "/>
      <w:lvlJc w:val="left"/>
      <w:pPr>
        <w:tabs>
          <w:tab w:val="left" w:pos="0"/>
        </w:tabs>
        <w:ind w:left="0" w:firstLine="0"/>
      </w:pPr>
      <w:rPr>
        <w:rFonts w:ascii="宋体" w:eastAsia="宋体" w:hAnsi="宋体" w:cs="宋体" w:hint="default"/>
      </w:rPr>
    </w:lvl>
  </w:abstractNum>
  <w:abstractNum w:abstractNumId="10">
    <w:nsid w:val="0AD48E78"/>
    <w:multiLevelType w:val="singleLevel"/>
    <w:tmpl w:val="0AD48E78"/>
    <w:lvl w:ilvl="0">
      <w:start w:val="1"/>
      <w:numFmt w:val="decimal"/>
      <w:suff w:val="nothing"/>
      <w:lvlText w:val="6.2.%1 "/>
      <w:lvlJc w:val="left"/>
      <w:pPr>
        <w:tabs>
          <w:tab w:val="left" w:pos="0"/>
        </w:tabs>
        <w:ind w:left="0" w:firstLine="0"/>
      </w:pPr>
      <w:rPr>
        <w:rFonts w:ascii="宋体" w:eastAsia="宋体" w:hAnsi="宋体" w:cs="宋体" w:hint="default"/>
      </w:rPr>
    </w:lvl>
  </w:abstractNum>
  <w:abstractNum w:abstractNumId="11">
    <w:nsid w:val="1C68BBD9"/>
    <w:multiLevelType w:val="singleLevel"/>
    <w:tmpl w:val="1C68BBD9"/>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2">
    <w:nsid w:val="255A38A3"/>
    <w:multiLevelType w:val="singleLevel"/>
    <w:tmpl w:val="255A38A3"/>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3">
    <w:nsid w:val="30D6756F"/>
    <w:multiLevelType w:val="singleLevel"/>
    <w:tmpl w:val="30D6756F"/>
    <w:lvl w:ilvl="0">
      <w:start w:val="1"/>
      <w:numFmt w:val="decimal"/>
      <w:suff w:val="nothing"/>
      <w:lvlText w:val="3.6.2.%1 "/>
      <w:lvlJc w:val="left"/>
      <w:pPr>
        <w:tabs>
          <w:tab w:val="left" w:pos="0"/>
        </w:tabs>
        <w:ind w:left="0" w:firstLine="0"/>
      </w:pPr>
      <w:rPr>
        <w:rFonts w:ascii="宋体" w:eastAsia="宋体" w:hAnsi="宋体" w:cs="宋体" w:hint="default"/>
      </w:rPr>
    </w:lvl>
  </w:abstractNum>
  <w:abstractNum w:abstractNumId="14">
    <w:nsid w:val="392E1B95"/>
    <w:multiLevelType w:val="singleLevel"/>
    <w:tmpl w:val="392E1B95"/>
    <w:lvl w:ilvl="0">
      <w:start w:val="1"/>
      <w:numFmt w:val="decimal"/>
      <w:suff w:val="nothing"/>
      <w:lvlText w:val="%1 "/>
      <w:lvlJc w:val="left"/>
      <w:pPr>
        <w:ind w:left="0" w:firstLine="0"/>
      </w:pPr>
      <w:rPr>
        <w:rFonts w:hint="default"/>
      </w:rPr>
    </w:lvl>
  </w:abstractNum>
  <w:abstractNum w:abstractNumId="15">
    <w:nsid w:val="49AEA34E"/>
    <w:multiLevelType w:val="singleLevel"/>
    <w:tmpl w:val="49AEA34E"/>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16">
    <w:nsid w:val="50399AE6"/>
    <w:multiLevelType w:val="singleLevel"/>
    <w:tmpl w:val="50399AE6"/>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7">
    <w:nsid w:val="5351B9F6"/>
    <w:multiLevelType w:val="singleLevel"/>
    <w:tmpl w:val="5351B9F6"/>
    <w:lvl w:ilvl="0">
      <w:start w:val="1"/>
      <w:numFmt w:val="decimal"/>
      <w:suff w:val="nothing"/>
      <w:lvlText w:val="3.3.%1 "/>
      <w:lvlJc w:val="left"/>
      <w:pPr>
        <w:tabs>
          <w:tab w:val="left" w:pos="0"/>
        </w:tabs>
        <w:ind w:left="0" w:firstLine="0"/>
      </w:pPr>
      <w:rPr>
        <w:rFonts w:ascii="宋体" w:eastAsia="宋体" w:hAnsi="宋体" w:cs="宋体" w:hint="default"/>
      </w:rPr>
    </w:lvl>
  </w:abstractNum>
  <w:abstractNum w:abstractNumId="18">
    <w:nsid w:val="5AEE02E3"/>
    <w:multiLevelType w:val="singleLevel"/>
    <w:tmpl w:val="5AEE02E3"/>
    <w:lvl w:ilvl="0">
      <w:start w:val="1"/>
      <w:numFmt w:val="decimal"/>
      <w:suff w:val="nothing"/>
      <w:lvlText w:val="3.2.%1 "/>
      <w:lvlJc w:val="left"/>
      <w:pPr>
        <w:tabs>
          <w:tab w:val="left" w:pos="0"/>
        </w:tabs>
        <w:ind w:left="0" w:firstLine="0"/>
      </w:pPr>
      <w:rPr>
        <w:rFonts w:ascii="宋体" w:eastAsia="宋体" w:hAnsi="宋体" w:cs="宋体" w:hint="default"/>
      </w:rPr>
    </w:lvl>
  </w:abstractNum>
  <w:abstractNum w:abstractNumId="19">
    <w:nsid w:val="67092B2D"/>
    <w:multiLevelType w:val="singleLevel"/>
    <w:tmpl w:val="67092B2D"/>
    <w:lvl w:ilvl="0">
      <w:start w:val="1"/>
      <w:numFmt w:val="decimal"/>
      <w:suff w:val="nothing"/>
      <w:lvlText w:val="3.1.%1 "/>
      <w:lvlJc w:val="left"/>
      <w:pPr>
        <w:tabs>
          <w:tab w:val="left" w:pos="0"/>
        </w:tabs>
        <w:ind w:left="0" w:firstLine="0"/>
      </w:pPr>
      <w:rPr>
        <w:rFonts w:ascii="宋体" w:eastAsia="宋体" w:hAnsi="宋体" w:cs="宋体" w:hint="default"/>
      </w:rPr>
    </w:lvl>
  </w:abstractNum>
  <w:abstractNum w:abstractNumId="20">
    <w:nsid w:val="7529DEB5"/>
    <w:multiLevelType w:val="singleLevel"/>
    <w:tmpl w:val="7529DEB5"/>
    <w:lvl w:ilvl="0">
      <w:start w:val="1"/>
      <w:numFmt w:val="decimal"/>
      <w:suff w:val="nothing"/>
      <w:lvlText w:val="3.7.%1 "/>
      <w:lvlJc w:val="left"/>
      <w:pPr>
        <w:tabs>
          <w:tab w:val="left" w:pos="0"/>
        </w:tabs>
        <w:ind w:left="0" w:firstLine="0"/>
      </w:pPr>
      <w:rPr>
        <w:rFonts w:ascii="宋体" w:eastAsia="宋体" w:hAnsi="宋体" w:cs="宋体" w:hint="default"/>
      </w:rPr>
    </w:lvl>
  </w:abstractNum>
  <w:abstractNum w:abstractNumId="21">
    <w:nsid w:val="7A013870"/>
    <w:multiLevelType w:val="singleLevel"/>
    <w:tmpl w:val="7A013870"/>
    <w:lvl w:ilvl="0">
      <w:start w:val="1"/>
      <w:numFmt w:val="decimal"/>
      <w:suff w:val="nothing"/>
      <w:lvlText w:val="7.%1 "/>
      <w:lvlJc w:val="left"/>
      <w:pPr>
        <w:tabs>
          <w:tab w:val="left" w:pos="0"/>
        </w:tabs>
        <w:ind w:left="0" w:firstLine="0"/>
      </w:pPr>
      <w:rPr>
        <w:rFonts w:ascii="宋体" w:eastAsia="宋体" w:hAnsi="宋体" w:cs="宋体" w:hint="default"/>
      </w:rPr>
    </w:lvl>
  </w:abstractNum>
  <w:num w:numId="1">
    <w:abstractNumId w:val="7"/>
  </w:num>
  <w:num w:numId="2">
    <w:abstractNumId w:val="14"/>
  </w:num>
  <w:num w:numId="3">
    <w:abstractNumId w:val="16"/>
  </w:num>
  <w:num w:numId="4">
    <w:abstractNumId w:val="15"/>
  </w:num>
  <w:num w:numId="5">
    <w:abstractNumId w:val="19"/>
  </w:num>
  <w:num w:numId="6">
    <w:abstractNumId w:val="18"/>
  </w:num>
  <w:num w:numId="7">
    <w:abstractNumId w:val="17"/>
  </w:num>
  <w:num w:numId="8">
    <w:abstractNumId w:val="5"/>
  </w:num>
  <w:num w:numId="9">
    <w:abstractNumId w:val="9"/>
  </w:num>
  <w:num w:numId="10">
    <w:abstractNumId w:val="6"/>
  </w:num>
  <w:num w:numId="11">
    <w:abstractNumId w:val="13"/>
  </w:num>
  <w:num w:numId="12">
    <w:abstractNumId w:val="20"/>
  </w:num>
  <w:num w:numId="13">
    <w:abstractNumId w:val="11"/>
  </w:num>
  <w:num w:numId="14">
    <w:abstractNumId w:val="1"/>
  </w:num>
  <w:num w:numId="15">
    <w:abstractNumId w:val="8"/>
  </w:num>
  <w:num w:numId="16">
    <w:abstractNumId w:val="2"/>
  </w:num>
  <w:num w:numId="17">
    <w:abstractNumId w:val="3"/>
  </w:num>
  <w:num w:numId="18">
    <w:abstractNumId w:val="12"/>
  </w:num>
  <w:num w:numId="19">
    <w:abstractNumId w:val="0"/>
  </w:num>
  <w:num w:numId="20">
    <w:abstractNumId w:val="10"/>
  </w:num>
  <w:num w:numId="21">
    <w:abstractNumId w:val="4"/>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8FE"/>
    <w:rsid w:val="000674FC"/>
    <w:rsid w:val="000901EA"/>
    <w:rsid w:val="000C78FE"/>
    <w:rsid w:val="0012461B"/>
    <w:rsid w:val="003B64CC"/>
    <w:rsid w:val="003B7BEA"/>
    <w:rsid w:val="004225CB"/>
    <w:rsid w:val="005711CA"/>
    <w:rsid w:val="006C56F1"/>
    <w:rsid w:val="00876613"/>
    <w:rsid w:val="00A2002A"/>
    <w:rsid w:val="00DB5805"/>
    <w:rsid w:val="00ED01A5"/>
    <w:rsid w:val="00EE289F"/>
    <w:rsid w:val="00F93FBD"/>
    <w:rsid w:val="00FF3A92"/>
    <w:rsid w:val="05EF1AC7"/>
    <w:rsid w:val="090A060C"/>
    <w:rsid w:val="0C6078E3"/>
    <w:rsid w:val="10EB0ACC"/>
    <w:rsid w:val="1160098A"/>
    <w:rsid w:val="12FD6252"/>
    <w:rsid w:val="14E54D77"/>
    <w:rsid w:val="18201F75"/>
    <w:rsid w:val="1ADA7EFA"/>
    <w:rsid w:val="1B2A3F92"/>
    <w:rsid w:val="1C9635BA"/>
    <w:rsid w:val="20616389"/>
    <w:rsid w:val="255B2011"/>
    <w:rsid w:val="2BD650A8"/>
    <w:rsid w:val="359D67EC"/>
    <w:rsid w:val="3B8F194F"/>
    <w:rsid w:val="3FE33B28"/>
    <w:rsid w:val="42A72A99"/>
    <w:rsid w:val="4EDB640C"/>
    <w:rsid w:val="4F564771"/>
    <w:rsid w:val="518C7523"/>
    <w:rsid w:val="563F53FD"/>
    <w:rsid w:val="5F5E0EB7"/>
    <w:rsid w:val="60841FB7"/>
    <w:rsid w:val="69B3768F"/>
    <w:rsid w:val="6B1019C9"/>
    <w:rsid w:val="6CCE34D1"/>
    <w:rsid w:val="6E2E0BF9"/>
    <w:rsid w:val="6F344052"/>
    <w:rsid w:val="7148096B"/>
    <w:rsid w:val="72D867E2"/>
    <w:rsid w:val="7EA8342D"/>
    <w:rsid w:val="7EB91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Calibri" w:hAnsi="Calibri"/>
    </w:rPr>
  </w:style>
  <w:style w:type="paragraph" w:styleId="a4">
    <w:name w:val="Balloon Text"/>
    <w:basedOn w:val="a"/>
    <w:link w:val="Char"/>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character" w:customStyle="1" w:styleId="Char">
    <w:name w:val="批注框文本 Char"/>
    <w:basedOn w:val="a0"/>
    <w:link w:val="a4"/>
    <w:uiPriority w:val="99"/>
    <w:semiHidden/>
    <w:qFormat/>
    <w:rPr>
      <w:kern w:val="2"/>
      <w:sz w:val="18"/>
      <w:szCs w:val="18"/>
    </w:rPr>
  </w:style>
  <w:style w:type="paragraph" w:customStyle="1" w:styleId="10">
    <w:name w:val="1"/>
    <w:basedOn w:val="a"/>
    <w:next w:val="a3"/>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List Continue 2"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jc w:val="left"/>
      <w:outlineLvl w:val="1"/>
    </w:pPr>
    <w:rPr>
      <w:rFonts w:ascii="Arial" w:eastAsia="黑体" w:hAnsi="Arial"/>
      <w:b/>
      <w:spacing w:val="1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rPr>
      <w:rFonts w:ascii="Calibri" w:hAnsi="Calibri"/>
    </w:rPr>
  </w:style>
  <w:style w:type="paragraph" w:styleId="a4">
    <w:name w:val="Balloon Text"/>
    <w:basedOn w:val="a"/>
    <w:link w:val="Char"/>
    <w:uiPriority w:val="99"/>
    <w:semiHidden/>
    <w:unhideWhenUsed/>
    <w:qFormat/>
    <w:rPr>
      <w:sz w:val="18"/>
      <w:szCs w:val="18"/>
    </w:rPr>
  </w:style>
  <w:style w:type="paragraph" w:styleId="a5">
    <w:name w:val="footer"/>
    <w:basedOn w:val="a"/>
    <w:uiPriority w:val="99"/>
    <w:unhideWhenUsed/>
    <w:qFormat/>
    <w:pPr>
      <w:tabs>
        <w:tab w:val="center" w:pos="4153"/>
        <w:tab w:val="right" w:pos="8306"/>
      </w:tabs>
      <w:snapToGrid w:val="0"/>
      <w:jc w:val="left"/>
    </w:pPr>
    <w:rPr>
      <w:sz w:val="18"/>
    </w:rPr>
  </w:style>
  <w:style w:type="paragraph" w:styleId="a6">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20">
    <w:name w:val="List Continue 2"/>
    <w:basedOn w:val="a"/>
    <w:uiPriority w:val="99"/>
    <w:unhideWhenUsed/>
    <w:qFormat/>
    <w:pPr>
      <w:spacing w:after="120"/>
      <w:ind w:leftChars="400" w:left="840"/>
    </w:pPr>
  </w:style>
  <w:style w:type="character" w:customStyle="1" w:styleId="Char">
    <w:name w:val="批注框文本 Char"/>
    <w:basedOn w:val="a0"/>
    <w:link w:val="a4"/>
    <w:uiPriority w:val="99"/>
    <w:semiHidden/>
    <w:qFormat/>
    <w:rPr>
      <w:kern w:val="2"/>
      <w:sz w:val="18"/>
      <w:szCs w:val="18"/>
    </w:rPr>
  </w:style>
  <w:style w:type="paragraph" w:customStyle="1" w:styleId="10">
    <w:name w:val="1"/>
    <w:basedOn w:val="a"/>
    <w:next w:val="a3"/>
    <w:qFormat/>
    <w:pPr>
      <w:spacing w:line="360" w:lineRule="exact"/>
    </w:pPr>
    <w:rPr>
      <w:rFonts w:ascii="Calibri" w:hAnsi="Calibri"/>
    </w:rPr>
  </w:style>
  <w:style w:type="paragraph" w:customStyle="1" w:styleId="21">
    <w:name w:val="标题 2 居中"/>
    <w:basedOn w:val="2"/>
    <w:qFormat/>
    <w:pPr>
      <w:jc w:val="center"/>
    </w:pPr>
    <w:rPr>
      <w:rFonts w:ascii="宋体" w:hAnsi="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1518</Words>
  <Characters>8656</Characters>
  <Application>Microsoft Office Word</Application>
  <DocSecurity>0</DocSecurity>
  <Lines>72</Lines>
  <Paragraphs>20</Paragraphs>
  <ScaleCrop>false</ScaleCrop>
  <Company>StarOrigin</Company>
  <LinksUpToDate>false</LinksUpToDate>
  <CharactersWithSpaces>10154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江汉林</dc:creator>
  <cp:lastModifiedBy>杨隐</cp:lastModifiedBy>
  <cp:revision>8</cp:revision>
  <dcterms:created xsi:type="dcterms:W3CDTF">2020-10-30T03:46:00Z</dcterms:created>
  <dcterms:modified xsi:type="dcterms:W3CDTF">2020-11-16T02:35:00Z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