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overflowPunct w:val="0"/>
        <w:adjustRightInd/>
        <w:spacing w:line="400" w:lineRule="atLeast"/>
        <w:jc w:val="center"/>
        <w:textAlignment w:val="auto"/>
        <w:rPr>
          <w:rFonts w:hint="eastAsia" w:ascii="新宋体" w:hAnsi="新宋体" w:eastAsia="新宋体" w:cs="新宋体"/>
          <w:b/>
          <w:kern w:val="2"/>
          <w:sz w:val="44"/>
          <w:szCs w:val="44"/>
        </w:rPr>
      </w:pPr>
      <w:r>
        <w:rPr>
          <w:rFonts w:hint="eastAsia" w:ascii="新宋体" w:hAnsi="新宋体" w:eastAsia="新宋体" w:cs="新宋体"/>
          <w:b/>
          <w:kern w:val="2"/>
          <w:sz w:val="44"/>
          <w:szCs w:val="44"/>
        </w:rPr>
        <w:t>厦门海发环保能源股份有限公司</w:t>
      </w:r>
    </w:p>
    <w:p>
      <w:pPr>
        <w:kinsoku w:val="0"/>
        <w:overflowPunct w:val="0"/>
        <w:adjustRightInd/>
        <w:spacing w:line="400" w:lineRule="atLeast"/>
        <w:jc w:val="center"/>
        <w:textAlignment w:val="auto"/>
        <w:rPr>
          <w:rFonts w:hint="eastAsia" w:ascii="新宋体" w:hAnsi="新宋体" w:eastAsia="新宋体" w:cs="新宋体"/>
          <w:b/>
          <w:kern w:val="2"/>
          <w:sz w:val="44"/>
          <w:szCs w:val="44"/>
        </w:rPr>
      </w:pPr>
    </w:p>
    <w:p>
      <w:pPr>
        <w:kinsoku w:val="0"/>
        <w:overflowPunct w:val="0"/>
        <w:adjustRightInd/>
        <w:spacing w:line="400" w:lineRule="atLeast"/>
        <w:jc w:val="center"/>
        <w:textAlignment w:val="auto"/>
        <w:rPr>
          <w:rFonts w:hint="eastAsia" w:ascii="新宋体" w:hAnsi="新宋体" w:eastAsia="新宋体" w:cs="新宋体"/>
          <w:b/>
          <w:kern w:val="2"/>
          <w:sz w:val="44"/>
          <w:szCs w:val="44"/>
        </w:rPr>
      </w:pPr>
      <w:r>
        <w:rPr>
          <w:rFonts w:hint="eastAsia" w:ascii="新宋体" w:hAnsi="新宋体" w:eastAsia="新宋体" w:cs="新宋体"/>
          <w:b/>
          <w:kern w:val="2"/>
          <w:sz w:val="44"/>
          <w:szCs w:val="44"/>
        </w:rPr>
        <w:t>新阳热电事业部</w:t>
      </w:r>
    </w:p>
    <w:p>
      <w:pPr>
        <w:pStyle w:val="2"/>
        <w:rPr>
          <w:rFonts w:hint="eastAsia"/>
        </w:rPr>
      </w:pPr>
    </w:p>
    <w:p>
      <w:pPr>
        <w:kinsoku w:val="0"/>
        <w:overflowPunct w:val="0"/>
        <w:adjustRightInd/>
        <w:spacing w:line="400" w:lineRule="atLeast"/>
        <w:jc w:val="center"/>
        <w:textAlignment w:val="auto"/>
        <w:rPr>
          <w:rFonts w:hint="eastAsia" w:ascii="新宋体" w:hAnsi="新宋体" w:eastAsia="新宋体" w:cs="新宋体"/>
          <w:b/>
          <w:kern w:val="2"/>
          <w:sz w:val="44"/>
          <w:szCs w:val="44"/>
        </w:rPr>
      </w:pPr>
    </w:p>
    <w:p>
      <w:pPr>
        <w:kinsoku w:val="0"/>
        <w:overflowPunct w:val="0"/>
        <w:adjustRightInd/>
        <w:spacing w:line="400" w:lineRule="atLeast"/>
        <w:jc w:val="center"/>
        <w:textAlignment w:val="auto"/>
        <w:rPr>
          <w:rFonts w:hint="eastAsia" w:ascii="新宋体" w:hAnsi="新宋体" w:eastAsia="新宋体" w:cs="新宋体"/>
          <w:b/>
          <w:kern w:val="2"/>
          <w:sz w:val="44"/>
          <w:szCs w:val="44"/>
        </w:rPr>
      </w:pPr>
      <w:r>
        <w:rPr>
          <w:rFonts w:hint="eastAsia" w:ascii="新宋体" w:hAnsi="新宋体" w:eastAsia="新宋体" w:cs="新宋体"/>
          <w:b/>
          <w:kern w:val="2"/>
          <w:sz w:val="44"/>
          <w:szCs w:val="44"/>
        </w:rPr>
        <w:t>电动闸阀备件</w:t>
      </w:r>
      <w:r>
        <w:rPr>
          <w:rFonts w:hint="eastAsia" w:ascii="新宋体" w:hAnsi="新宋体" w:eastAsia="新宋体" w:cs="新宋体"/>
          <w:b/>
          <w:kern w:val="2"/>
          <w:sz w:val="44"/>
          <w:szCs w:val="44"/>
          <w:lang w:val="en-US" w:eastAsia="zh-CN"/>
        </w:rPr>
        <w:t>询价采购</w:t>
      </w:r>
      <w:r>
        <w:rPr>
          <w:rFonts w:hint="eastAsia" w:ascii="新宋体" w:hAnsi="新宋体" w:eastAsia="新宋体" w:cs="新宋体"/>
          <w:b/>
          <w:kern w:val="2"/>
          <w:sz w:val="44"/>
          <w:szCs w:val="44"/>
        </w:rPr>
        <w:t>文件</w:t>
      </w:r>
    </w:p>
    <w:p>
      <w:pPr>
        <w:kinsoku w:val="0"/>
        <w:overflowPunct w:val="0"/>
        <w:adjustRightInd/>
        <w:spacing w:line="400" w:lineRule="atLeast"/>
        <w:jc w:val="center"/>
        <w:textAlignment w:val="auto"/>
        <w:rPr>
          <w:rFonts w:hint="eastAsia" w:eastAsia="文鼎粗行楷体简"/>
          <w:b/>
          <w:kern w:val="2"/>
          <w:sz w:val="32"/>
          <w:szCs w:val="22"/>
        </w:rPr>
      </w:pPr>
    </w:p>
    <w:p>
      <w:pPr>
        <w:kinsoku w:val="0"/>
        <w:overflowPunct w:val="0"/>
        <w:adjustRightInd/>
        <w:spacing w:line="400" w:lineRule="atLeast"/>
        <w:jc w:val="center"/>
        <w:textAlignment w:val="auto"/>
        <w:rPr>
          <w:rFonts w:hint="eastAsia" w:eastAsia="文鼎粗行楷体简"/>
          <w:b/>
          <w:kern w:val="2"/>
          <w:sz w:val="32"/>
          <w:szCs w:val="22"/>
        </w:rPr>
      </w:pPr>
    </w:p>
    <w:p>
      <w:pPr>
        <w:kinsoku w:val="0"/>
        <w:overflowPunct w:val="0"/>
        <w:adjustRightInd/>
        <w:spacing w:line="400" w:lineRule="atLeast"/>
        <w:jc w:val="center"/>
        <w:textAlignment w:val="auto"/>
        <w:rPr>
          <w:rFonts w:hint="default" w:ascii="宋体" w:hAnsi="宋体" w:cs="宋体" w:eastAsiaTheme="minorEastAsia"/>
          <w:b/>
          <w:kern w:val="2"/>
          <w:sz w:val="32"/>
          <w:szCs w:val="22"/>
          <w:lang w:val="en-US" w:eastAsia="zh-CN"/>
        </w:rPr>
      </w:pPr>
      <w:r>
        <w:rPr>
          <w:rFonts w:hint="eastAsia" w:ascii="宋体" w:hAnsi="宋体" w:cs="宋体"/>
          <w:kern w:val="2"/>
          <w:sz w:val="32"/>
          <w:szCs w:val="32"/>
        </w:rPr>
        <w:t>项目编号：HFHN-XY202</w:t>
      </w:r>
      <w:r>
        <w:rPr>
          <w:rFonts w:hint="eastAsia" w:ascii="宋体" w:hAnsi="宋体" w:cs="宋体"/>
          <w:kern w:val="2"/>
          <w:sz w:val="32"/>
          <w:szCs w:val="32"/>
          <w:lang w:val="en-US" w:eastAsia="zh-CN"/>
        </w:rPr>
        <w:t>1</w:t>
      </w:r>
      <w:r>
        <w:rPr>
          <w:rFonts w:hint="eastAsia" w:ascii="宋体" w:hAnsi="宋体" w:cs="宋体"/>
          <w:kern w:val="2"/>
          <w:sz w:val="32"/>
          <w:szCs w:val="32"/>
        </w:rPr>
        <w:t>-</w:t>
      </w:r>
      <w:r>
        <w:rPr>
          <w:rFonts w:hint="eastAsia" w:ascii="宋体" w:hAnsi="宋体" w:cs="宋体"/>
          <w:kern w:val="2"/>
          <w:sz w:val="32"/>
          <w:szCs w:val="32"/>
          <w:lang w:val="en-US" w:eastAsia="zh-CN"/>
        </w:rPr>
        <w:t>007</w:t>
      </w:r>
    </w:p>
    <w:p>
      <w:pPr>
        <w:kinsoku w:val="0"/>
        <w:overflowPunct w:val="0"/>
        <w:adjustRightInd/>
        <w:spacing w:line="400" w:lineRule="atLeast"/>
        <w:ind w:firstLine="2249" w:firstLineChars="700"/>
        <w:textAlignment w:val="auto"/>
        <w:rPr>
          <w:b/>
          <w:kern w:val="2"/>
          <w:sz w:val="32"/>
          <w:szCs w:val="22"/>
        </w:rPr>
      </w:pPr>
    </w:p>
    <w:p>
      <w:pPr>
        <w:tabs>
          <w:tab w:val="left" w:pos="6902"/>
        </w:tabs>
        <w:kinsoku w:val="0"/>
        <w:overflowPunct w:val="0"/>
        <w:adjustRightInd/>
        <w:spacing w:line="400" w:lineRule="atLeast"/>
        <w:jc w:val="center"/>
        <w:textAlignment w:val="auto"/>
        <w:rPr>
          <w:rFonts w:hint="eastAsia"/>
          <w:b/>
          <w:kern w:val="2"/>
          <w:sz w:val="32"/>
          <w:szCs w:val="22"/>
        </w:rPr>
      </w:pPr>
    </w:p>
    <w:p>
      <w:pPr>
        <w:tabs>
          <w:tab w:val="left" w:pos="6902"/>
        </w:tabs>
        <w:kinsoku w:val="0"/>
        <w:overflowPunct w:val="0"/>
        <w:adjustRightInd/>
        <w:spacing w:line="400" w:lineRule="atLeast"/>
        <w:jc w:val="center"/>
        <w:textAlignment w:val="auto"/>
        <w:rPr>
          <w:rFonts w:hint="eastAsia"/>
          <w:b/>
          <w:kern w:val="2"/>
          <w:sz w:val="32"/>
          <w:szCs w:val="22"/>
        </w:rPr>
      </w:pPr>
    </w:p>
    <w:p>
      <w:pPr>
        <w:tabs>
          <w:tab w:val="left" w:pos="6902"/>
        </w:tabs>
        <w:kinsoku w:val="0"/>
        <w:overflowPunct w:val="0"/>
        <w:adjustRightInd/>
        <w:spacing w:line="400" w:lineRule="atLeast"/>
        <w:jc w:val="center"/>
        <w:textAlignment w:val="auto"/>
        <w:rPr>
          <w:rFonts w:hint="eastAsia"/>
          <w:b/>
          <w:kern w:val="2"/>
          <w:sz w:val="32"/>
          <w:szCs w:val="22"/>
        </w:rPr>
      </w:pPr>
    </w:p>
    <w:p>
      <w:pPr>
        <w:pStyle w:val="2"/>
        <w:rPr>
          <w:rFonts w:hint="eastAsia"/>
          <w:b/>
          <w:kern w:val="2"/>
          <w:sz w:val="32"/>
          <w:szCs w:val="22"/>
        </w:rPr>
      </w:pPr>
    </w:p>
    <w:p>
      <w:pPr>
        <w:pStyle w:val="2"/>
        <w:rPr>
          <w:rFonts w:hint="eastAsia"/>
          <w:b/>
          <w:kern w:val="2"/>
          <w:sz w:val="32"/>
          <w:szCs w:val="22"/>
        </w:rPr>
      </w:pPr>
    </w:p>
    <w:p>
      <w:pPr>
        <w:pStyle w:val="2"/>
        <w:rPr>
          <w:rFonts w:hint="eastAsia"/>
          <w:b/>
          <w:kern w:val="2"/>
          <w:sz w:val="32"/>
          <w:szCs w:val="22"/>
        </w:rPr>
      </w:pPr>
    </w:p>
    <w:p>
      <w:pPr>
        <w:pStyle w:val="2"/>
        <w:rPr>
          <w:rFonts w:hint="eastAsia"/>
          <w:b/>
          <w:kern w:val="2"/>
          <w:sz w:val="32"/>
          <w:szCs w:val="22"/>
        </w:rPr>
      </w:pPr>
    </w:p>
    <w:p>
      <w:pPr>
        <w:kinsoku w:val="0"/>
        <w:overflowPunct w:val="0"/>
        <w:adjustRightInd/>
        <w:spacing w:line="620" w:lineRule="atLeast"/>
        <w:jc w:val="center"/>
        <w:textAlignment w:val="auto"/>
        <w:rPr>
          <w:rFonts w:hint="eastAsia" w:ascii="宋体" w:hAnsi="宋体" w:cs="宋体"/>
          <w:b/>
          <w:bCs/>
          <w:kern w:val="2"/>
          <w:sz w:val="35"/>
          <w:szCs w:val="35"/>
        </w:rPr>
      </w:pPr>
      <w:r>
        <w:rPr>
          <w:rFonts w:hint="eastAsia" w:ascii="宋体" w:hAnsi="宋体" w:cs="宋体"/>
          <w:b/>
          <w:bCs/>
          <w:kern w:val="2"/>
          <w:sz w:val="35"/>
          <w:szCs w:val="35"/>
        </w:rPr>
        <w:t>厦门海发环保能源股份有限公司</w:t>
      </w:r>
    </w:p>
    <w:p>
      <w:pPr>
        <w:kinsoku w:val="0"/>
        <w:overflowPunct w:val="0"/>
        <w:adjustRightInd/>
        <w:spacing w:line="620" w:lineRule="atLeast"/>
        <w:jc w:val="center"/>
        <w:rPr>
          <w:rFonts w:hint="eastAsia" w:ascii="宋体" w:hAnsi="宋体" w:cs="宋体"/>
          <w:b/>
          <w:bCs/>
          <w:kern w:val="2"/>
          <w:sz w:val="35"/>
          <w:szCs w:val="35"/>
        </w:rPr>
      </w:pPr>
      <w:r>
        <w:rPr>
          <w:rFonts w:hint="eastAsia" w:ascii="宋体" w:hAnsi="宋体" w:cs="宋体"/>
          <w:b/>
          <w:bCs/>
          <w:kern w:val="2"/>
          <w:sz w:val="35"/>
          <w:szCs w:val="35"/>
        </w:rPr>
        <w:t>2021年0</w:t>
      </w:r>
      <w:r>
        <w:rPr>
          <w:rFonts w:hint="eastAsia" w:ascii="宋体" w:hAnsi="宋体" w:cs="宋体"/>
          <w:b/>
          <w:bCs/>
          <w:kern w:val="2"/>
          <w:sz w:val="35"/>
          <w:szCs w:val="35"/>
          <w:lang w:val="en-US" w:eastAsia="zh-CN"/>
        </w:rPr>
        <w:t>4</w:t>
      </w:r>
      <w:r>
        <w:rPr>
          <w:rFonts w:hint="eastAsia" w:ascii="宋体" w:hAnsi="宋体" w:cs="宋体"/>
          <w:b/>
          <w:bCs/>
          <w:kern w:val="2"/>
          <w:sz w:val="35"/>
          <w:szCs w:val="35"/>
        </w:rPr>
        <w:t>月</w:t>
      </w:r>
    </w:p>
    <w:p>
      <w:pPr>
        <w:pStyle w:val="2"/>
        <w:rPr>
          <w:rFonts w:hint="eastAsia" w:ascii="宋体" w:hAnsi="宋体" w:cs="宋体"/>
          <w:b/>
          <w:bCs/>
          <w:kern w:val="2"/>
          <w:sz w:val="35"/>
          <w:szCs w:val="35"/>
        </w:rPr>
      </w:pPr>
    </w:p>
    <w:p>
      <w:pPr>
        <w:pStyle w:val="2"/>
        <w:rPr>
          <w:rFonts w:hint="eastAsia" w:ascii="宋体" w:hAnsi="宋体" w:cs="宋体"/>
          <w:b/>
          <w:bCs/>
          <w:kern w:val="2"/>
          <w:sz w:val="35"/>
          <w:szCs w:val="35"/>
        </w:rPr>
      </w:pPr>
    </w:p>
    <w:p>
      <w:pPr>
        <w:pStyle w:val="2"/>
        <w:rPr>
          <w:rFonts w:hint="eastAsia" w:ascii="宋体" w:hAnsi="宋体" w:cs="宋体"/>
          <w:b/>
          <w:bCs/>
          <w:kern w:val="2"/>
          <w:sz w:val="35"/>
          <w:szCs w:val="35"/>
        </w:rPr>
      </w:pPr>
    </w:p>
    <w:p>
      <w:pPr>
        <w:pStyle w:val="2"/>
        <w:rPr>
          <w:rFonts w:hint="eastAsia" w:ascii="宋体" w:hAnsi="宋体" w:cs="宋体"/>
          <w:b/>
          <w:bCs/>
          <w:kern w:val="2"/>
          <w:sz w:val="35"/>
          <w:szCs w:val="35"/>
        </w:rPr>
      </w:pPr>
    </w:p>
    <w:p>
      <w:pPr>
        <w:pStyle w:val="4"/>
        <w:keepNext w:val="0"/>
        <w:keepLines w:val="0"/>
        <w:kinsoku w:val="0"/>
        <w:overflowPunct w:val="0"/>
        <w:autoSpaceDE w:val="0"/>
        <w:autoSpaceDN w:val="0"/>
        <w:adjustRightInd/>
        <w:spacing w:before="0" w:after="0" w:line="400" w:lineRule="atLeast"/>
        <w:jc w:val="center"/>
        <w:textAlignment w:val="auto"/>
        <w:outlineLvl w:val="0"/>
        <w:rPr>
          <w:rFonts w:hint="eastAsia" w:ascii="宋体" w:hAnsi="宋体" w:eastAsia="宋体"/>
          <w:bCs/>
          <w:sz w:val="28"/>
          <w:szCs w:val="28"/>
        </w:rPr>
        <w:sectPr>
          <w:pgSz w:w="11906" w:h="16838"/>
          <w:pgMar w:top="1440" w:right="1406" w:bottom="1440" w:left="1463" w:header="851" w:footer="992" w:gutter="0"/>
          <w:pgNumType w:fmt="decimal" w:start="1"/>
          <w:cols w:space="425" w:num="1"/>
          <w:docGrid w:type="lines" w:linePitch="312" w:charSpace="0"/>
        </w:sectPr>
      </w:pPr>
      <w:bookmarkStart w:id="0" w:name="_Toc4413_WPSOffice_Level1"/>
      <w:bookmarkStart w:id="1" w:name="_Toc4629_WPSOffice_Level1"/>
      <w:bookmarkStart w:id="2" w:name="_Toc8263_WPSOffice_Level1"/>
      <w:bookmarkStart w:id="3" w:name="_Toc21029_WPSOffice_Level1"/>
      <w:bookmarkStart w:id="4" w:name="_Toc15109_WPSOffice_Level1"/>
      <w:bookmarkStart w:id="5" w:name="_Toc15524"/>
    </w:p>
    <w:p>
      <w:pPr>
        <w:pStyle w:val="4"/>
        <w:keepNext w:val="0"/>
        <w:keepLines w:val="0"/>
        <w:kinsoku w:val="0"/>
        <w:overflowPunct w:val="0"/>
        <w:autoSpaceDE w:val="0"/>
        <w:autoSpaceDN w:val="0"/>
        <w:adjustRightInd/>
        <w:spacing w:before="0" w:after="0" w:line="400" w:lineRule="atLeast"/>
        <w:jc w:val="center"/>
        <w:textAlignment w:val="auto"/>
        <w:outlineLvl w:val="0"/>
        <w:rPr>
          <w:rFonts w:hint="default" w:ascii="宋体" w:hAnsi="宋体" w:eastAsia="宋体"/>
          <w:bCs/>
          <w:sz w:val="28"/>
          <w:szCs w:val="28"/>
          <w:lang w:val="en-US" w:eastAsia="zh-CN"/>
        </w:rPr>
      </w:pPr>
      <w:r>
        <w:rPr>
          <w:rFonts w:hint="eastAsia" w:ascii="宋体" w:hAnsi="宋体" w:eastAsia="宋体"/>
          <w:bCs/>
          <w:sz w:val="28"/>
          <w:szCs w:val="28"/>
        </w:rPr>
        <w:t xml:space="preserve">第一部分 </w:t>
      </w:r>
      <w:bookmarkEnd w:id="0"/>
      <w:bookmarkEnd w:id="1"/>
      <w:bookmarkEnd w:id="2"/>
      <w:bookmarkEnd w:id="3"/>
      <w:bookmarkEnd w:id="4"/>
      <w:r>
        <w:rPr>
          <w:rFonts w:hint="eastAsia" w:ascii="宋体" w:hAnsi="宋体" w:eastAsia="宋体"/>
          <w:bCs/>
          <w:sz w:val="28"/>
          <w:szCs w:val="28"/>
          <w:lang w:val="en-US" w:eastAsia="zh-CN"/>
        </w:rPr>
        <w:t>询价邀请书</w:t>
      </w:r>
      <w:bookmarkEnd w:id="5"/>
    </w:p>
    <w:p>
      <w:pPr>
        <w:pStyle w:val="4"/>
        <w:keepNext w:val="0"/>
        <w:keepLines w:val="0"/>
        <w:kinsoku w:val="0"/>
        <w:overflowPunct w:val="0"/>
        <w:autoSpaceDE w:val="0"/>
        <w:autoSpaceDN w:val="0"/>
        <w:adjustRightInd w:val="0"/>
        <w:spacing w:before="0" w:beforeLines="0" w:after="0" w:afterLines="0" w:line="400" w:lineRule="atLeast"/>
        <w:ind w:right="210" w:rightChars="100" w:firstLine="520" w:firstLineChars="200"/>
        <w:textAlignment w:val="auto"/>
        <w:rPr>
          <w:rFonts w:hint="eastAsia" w:ascii="宋体" w:hAnsi="宋体" w:eastAsia="宋体" w:cs="Times New Roman"/>
          <w:b w:val="0"/>
          <w:bCs/>
          <w:kern w:val="0"/>
          <w:sz w:val="24"/>
          <w:szCs w:val="24"/>
        </w:rPr>
      </w:pPr>
      <w:r>
        <w:rPr>
          <w:rFonts w:hint="eastAsia" w:ascii="宋体" w:hAnsi="宋体" w:eastAsia="宋体" w:cs="Times New Roman"/>
          <w:b w:val="0"/>
          <w:bCs/>
          <w:kern w:val="0"/>
          <w:sz w:val="24"/>
          <w:szCs w:val="24"/>
        </w:rPr>
        <w:t>厦门海发环保能源股份有限公司</w:t>
      </w:r>
      <w:r>
        <w:rPr>
          <w:rFonts w:hint="eastAsia" w:ascii="宋体" w:hAnsi="宋体" w:eastAsia="宋体" w:cs="Times New Roman"/>
          <w:b w:val="0"/>
          <w:bCs/>
          <w:kern w:val="0"/>
          <w:sz w:val="24"/>
          <w:szCs w:val="24"/>
          <w:lang w:val="en-US" w:eastAsia="zh-CN"/>
        </w:rPr>
        <w:t>对</w:t>
      </w:r>
      <w:r>
        <w:rPr>
          <w:rFonts w:hint="eastAsia" w:ascii="宋体" w:hAnsi="宋体" w:eastAsia="宋体" w:cs="Times New Roman"/>
          <w:b w:val="0"/>
          <w:bCs/>
          <w:kern w:val="0"/>
          <w:sz w:val="24"/>
          <w:szCs w:val="24"/>
        </w:rPr>
        <w:t>新阳热电事业部</w:t>
      </w:r>
      <w:r>
        <w:rPr>
          <w:rFonts w:hint="eastAsia" w:ascii="宋体" w:hAnsi="宋体" w:eastAsia="宋体" w:cs="Times New Roman"/>
          <w:b w:val="0"/>
          <w:bCs/>
          <w:kern w:val="0"/>
          <w:sz w:val="24"/>
          <w:szCs w:val="24"/>
          <w:u w:val="single"/>
        </w:rPr>
        <w:t>电动闸阀备件采购</w:t>
      </w:r>
      <w:r>
        <w:rPr>
          <w:rFonts w:hint="eastAsia" w:ascii="宋体" w:hAnsi="宋体" w:eastAsia="宋体" w:cs="Times New Roman"/>
          <w:b w:val="0"/>
          <w:bCs/>
          <w:kern w:val="0"/>
          <w:sz w:val="24"/>
          <w:szCs w:val="24"/>
        </w:rPr>
        <w:t>项目进行</w:t>
      </w:r>
      <w:r>
        <w:rPr>
          <w:rFonts w:hint="eastAsia" w:ascii="宋体" w:hAnsi="宋体" w:eastAsia="宋体" w:cs="Times New Roman"/>
          <w:b w:val="0"/>
          <w:bCs/>
          <w:kern w:val="0"/>
          <w:sz w:val="24"/>
          <w:szCs w:val="24"/>
          <w:lang w:val="en-US" w:eastAsia="zh-CN"/>
        </w:rPr>
        <w:t>公开</w:t>
      </w:r>
      <w:r>
        <w:rPr>
          <w:rFonts w:hint="eastAsia" w:ascii="宋体" w:hAnsi="宋体" w:eastAsia="宋体" w:cs="Times New Roman"/>
          <w:b w:val="0"/>
          <w:bCs/>
          <w:kern w:val="0"/>
          <w:sz w:val="24"/>
          <w:szCs w:val="24"/>
        </w:rPr>
        <w:t>询价，邀请具备长期供应能力的供应商参与本采购项目报价。具体采购</w:t>
      </w:r>
      <w:r>
        <w:rPr>
          <w:rFonts w:hint="eastAsia" w:ascii="宋体" w:hAnsi="宋体" w:eastAsia="宋体" w:cs="Times New Roman"/>
          <w:b w:val="0"/>
          <w:bCs/>
          <w:kern w:val="0"/>
          <w:sz w:val="24"/>
          <w:szCs w:val="24"/>
          <w:lang w:val="en-US" w:eastAsia="zh-CN"/>
        </w:rPr>
        <w:t>项目</w:t>
      </w:r>
      <w:r>
        <w:rPr>
          <w:rFonts w:hint="eastAsia" w:ascii="宋体" w:hAnsi="宋体" w:eastAsia="宋体" w:cs="Times New Roman"/>
          <w:b w:val="0"/>
          <w:bCs/>
          <w:kern w:val="0"/>
          <w:sz w:val="24"/>
          <w:szCs w:val="24"/>
        </w:rPr>
        <w:t>及要求如下：</w:t>
      </w:r>
    </w:p>
    <w:p>
      <w:pPr>
        <w:pStyle w:val="4"/>
        <w:keepNext w:val="0"/>
        <w:keepLines w:val="0"/>
        <w:numPr>
          <w:ilvl w:val="0"/>
          <w:numId w:val="1"/>
        </w:numPr>
        <w:kinsoku w:val="0"/>
        <w:overflowPunct w:val="0"/>
        <w:autoSpaceDE w:val="0"/>
        <w:autoSpaceDN w:val="0"/>
        <w:spacing w:before="0" w:after="0" w:line="400" w:lineRule="atLeast"/>
        <w:ind w:left="0" w:leftChars="0" w:right="210" w:rightChars="100" w:firstLine="0" w:firstLineChars="0"/>
        <w:jc w:val="both"/>
        <w:textAlignment w:val="auto"/>
        <w:rPr>
          <w:rFonts w:hint="eastAsia" w:ascii="宋体" w:hAnsi="宋体" w:eastAsia="宋体"/>
          <w:bCs/>
          <w:sz w:val="24"/>
          <w:szCs w:val="24"/>
        </w:rPr>
      </w:pPr>
      <w:bookmarkStart w:id="6" w:name="_Toc30742_WPSOffice_Level2"/>
      <w:bookmarkStart w:id="7" w:name="_Toc24068_WPSOffice_Level2"/>
      <w:bookmarkStart w:id="8" w:name="_Toc8748_WPSOffice_Level2"/>
      <w:bookmarkStart w:id="9" w:name="_Toc13536_WPSOffice_Level2"/>
      <w:r>
        <w:rPr>
          <w:rFonts w:hint="eastAsia" w:ascii="宋体" w:hAnsi="宋体" w:eastAsia="宋体"/>
          <w:bCs/>
          <w:sz w:val="24"/>
          <w:szCs w:val="24"/>
        </w:rPr>
        <w:t>项目概况</w:t>
      </w:r>
      <w:bookmarkEnd w:id="6"/>
      <w:bookmarkEnd w:id="7"/>
      <w:bookmarkEnd w:id="8"/>
      <w:bookmarkEnd w:id="9"/>
    </w:p>
    <w:p>
      <w:pPr>
        <w:pStyle w:val="4"/>
        <w:keepNext w:val="0"/>
        <w:keepLines w:val="0"/>
        <w:numPr>
          <w:ilvl w:val="0"/>
          <w:numId w:val="2"/>
        </w:numPr>
        <w:kinsoku w:val="0"/>
        <w:overflowPunct w:val="0"/>
        <w:autoSpaceDE w:val="0"/>
        <w:autoSpaceDN w:val="0"/>
        <w:spacing w:before="0" w:after="0" w:line="400" w:lineRule="atLeast"/>
        <w:ind w:left="0" w:leftChars="0" w:right="210" w:rightChars="100" w:firstLine="0" w:firstLineChars="0"/>
        <w:jc w:val="both"/>
        <w:textAlignment w:val="auto"/>
        <w:rPr>
          <w:rFonts w:hint="eastAsia" w:ascii="宋体" w:hAnsi="宋体" w:eastAsia="宋体"/>
          <w:b w:val="0"/>
          <w:bCs w:val="0"/>
          <w:sz w:val="24"/>
          <w:szCs w:val="24"/>
        </w:rPr>
      </w:pPr>
      <w:r>
        <w:rPr>
          <w:rFonts w:hint="eastAsia" w:ascii="宋体" w:hAnsi="宋体" w:eastAsia="宋体"/>
          <w:b w:val="0"/>
          <w:bCs w:val="0"/>
          <w:sz w:val="24"/>
          <w:szCs w:val="24"/>
        </w:rPr>
        <w:t>项目名称：电动闸阀备件采购</w:t>
      </w:r>
    </w:p>
    <w:p>
      <w:pPr>
        <w:pStyle w:val="4"/>
        <w:keepNext w:val="0"/>
        <w:keepLines w:val="0"/>
        <w:numPr>
          <w:ilvl w:val="0"/>
          <w:numId w:val="2"/>
        </w:numPr>
        <w:kinsoku w:val="0"/>
        <w:overflowPunct w:val="0"/>
        <w:autoSpaceDE w:val="0"/>
        <w:autoSpaceDN w:val="0"/>
        <w:spacing w:before="0" w:after="0" w:line="400" w:lineRule="atLeast"/>
        <w:ind w:left="0" w:leftChars="0" w:right="210" w:rightChars="100" w:firstLine="0" w:firstLineChars="0"/>
        <w:jc w:val="both"/>
        <w:textAlignment w:val="auto"/>
        <w:rPr>
          <w:rFonts w:hint="eastAsia" w:ascii="宋体" w:hAnsi="宋体" w:eastAsia="宋体"/>
          <w:b w:val="0"/>
          <w:bCs w:val="0"/>
          <w:sz w:val="24"/>
          <w:szCs w:val="24"/>
        </w:rPr>
      </w:pPr>
      <w:r>
        <w:rPr>
          <w:rFonts w:hint="eastAsia" w:ascii="宋体" w:hAnsi="宋体" w:eastAsia="宋体"/>
          <w:b w:val="0"/>
          <w:bCs w:val="0"/>
          <w:sz w:val="24"/>
          <w:szCs w:val="24"/>
        </w:rPr>
        <w:t>项目地点：厦门海发环保能源股份有限公司新阳热电厂区</w:t>
      </w:r>
    </w:p>
    <w:p>
      <w:pPr>
        <w:pStyle w:val="4"/>
        <w:keepNext w:val="0"/>
        <w:keepLines w:val="0"/>
        <w:numPr>
          <w:ilvl w:val="0"/>
          <w:numId w:val="2"/>
        </w:numPr>
        <w:kinsoku w:val="0"/>
        <w:overflowPunct w:val="0"/>
        <w:autoSpaceDE w:val="0"/>
        <w:autoSpaceDN w:val="0"/>
        <w:spacing w:before="0" w:after="0" w:line="400" w:lineRule="atLeast"/>
        <w:ind w:left="0" w:leftChars="0" w:right="210" w:rightChars="100" w:firstLine="0" w:firstLineChars="0"/>
        <w:jc w:val="both"/>
        <w:textAlignment w:val="auto"/>
        <w:rPr>
          <w:rFonts w:hint="eastAsia" w:ascii="宋体" w:hAnsi="宋体" w:eastAsia="宋体"/>
          <w:b w:val="0"/>
          <w:bCs w:val="0"/>
          <w:sz w:val="24"/>
          <w:szCs w:val="24"/>
        </w:rPr>
      </w:pPr>
      <w:r>
        <w:rPr>
          <w:rFonts w:hint="eastAsia" w:ascii="宋体" w:hAnsi="宋体" w:eastAsia="宋体"/>
          <w:b w:val="0"/>
          <w:bCs w:val="0"/>
          <w:sz w:val="24"/>
          <w:szCs w:val="24"/>
        </w:rPr>
        <w:t xml:space="preserve">资金来源：国有企业自筹资金    </w:t>
      </w:r>
    </w:p>
    <w:p>
      <w:pPr>
        <w:pStyle w:val="4"/>
        <w:keepNext w:val="0"/>
        <w:keepLines w:val="0"/>
        <w:numPr>
          <w:ilvl w:val="0"/>
          <w:numId w:val="2"/>
        </w:numPr>
        <w:kinsoku w:val="0"/>
        <w:overflowPunct w:val="0"/>
        <w:autoSpaceDE w:val="0"/>
        <w:autoSpaceDN w:val="0"/>
        <w:spacing w:before="0" w:after="0" w:line="400" w:lineRule="atLeast"/>
        <w:ind w:left="0" w:leftChars="0" w:right="210" w:rightChars="100" w:firstLine="0" w:firstLineChars="0"/>
        <w:jc w:val="both"/>
        <w:textAlignment w:val="auto"/>
        <w:rPr>
          <w:rFonts w:hint="eastAsia" w:ascii="宋体" w:hAnsi="宋体" w:eastAsia="宋体"/>
          <w:b w:val="0"/>
          <w:bCs w:val="0"/>
          <w:sz w:val="24"/>
          <w:szCs w:val="24"/>
        </w:rPr>
      </w:pPr>
      <w:r>
        <w:rPr>
          <w:rFonts w:hint="eastAsia" w:ascii="宋体" w:hAnsi="宋体" w:eastAsia="宋体"/>
          <w:b w:val="0"/>
          <w:bCs w:val="0"/>
          <w:sz w:val="24"/>
          <w:szCs w:val="24"/>
        </w:rPr>
        <w:t>供货周期：合同签订生效后30日(</w:t>
      </w:r>
      <w:r>
        <w:rPr>
          <w:rFonts w:hint="eastAsia" w:ascii="宋体" w:hAnsi="宋体" w:eastAsia="宋体"/>
          <w:b w:val="0"/>
          <w:bCs w:val="0"/>
          <w:sz w:val="24"/>
          <w:szCs w:val="24"/>
          <w:lang w:val="en-US" w:eastAsia="zh-CN"/>
        </w:rPr>
        <w:t>涉及</w:t>
      </w:r>
      <w:r>
        <w:rPr>
          <w:rFonts w:hint="eastAsia" w:ascii="宋体" w:hAnsi="宋体" w:eastAsia="宋体"/>
          <w:b w:val="0"/>
          <w:bCs w:val="0"/>
          <w:sz w:val="24"/>
          <w:szCs w:val="24"/>
        </w:rPr>
        <w:t>非标件另行商议)</w:t>
      </w:r>
    </w:p>
    <w:p>
      <w:pPr>
        <w:pStyle w:val="4"/>
        <w:keepNext w:val="0"/>
        <w:keepLines w:val="0"/>
        <w:numPr>
          <w:ilvl w:val="0"/>
          <w:numId w:val="2"/>
        </w:numPr>
        <w:kinsoku w:val="0"/>
        <w:overflowPunct w:val="0"/>
        <w:autoSpaceDE w:val="0"/>
        <w:autoSpaceDN w:val="0"/>
        <w:spacing w:before="0" w:after="0" w:line="400" w:lineRule="atLeast"/>
        <w:ind w:left="0" w:leftChars="0" w:right="210" w:rightChars="100" w:firstLine="0" w:firstLineChars="0"/>
        <w:jc w:val="both"/>
        <w:textAlignment w:val="auto"/>
        <w:rPr>
          <w:rFonts w:hint="eastAsia" w:ascii="宋体" w:hAnsi="宋体" w:eastAsia="宋体"/>
          <w:b w:val="0"/>
          <w:bCs w:val="0"/>
          <w:sz w:val="24"/>
          <w:szCs w:val="24"/>
        </w:rPr>
      </w:pPr>
      <w:r>
        <w:rPr>
          <w:rFonts w:hint="eastAsia" w:ascii="宋体" w:hAnsi="宋体" w:eastAsia="宋体"/>
          <w:b w:val="0"/>
          <w:bCs w:val="0"/>
          <w:sz w:val="24"/>
          <w:szCs w:val="24"/>
          <w:lang w:val="en-US" w:eastAsia="zh-CN"/>
        </w:rPr>
        <w:t>采购内容：见供货清单一览表</w:t>
      </w:r>
      <w:r>
        <w:rPr>
          <w:rFonts w:hint="eastAsia" w:ascii="宋体" w:hAnsi="宋体" w:eastAsia="宋体"/>
          <w:b w:val="0"/>
          <w:bCs w:val="0"/>
          <w:sz w:val="24"/>
          <w:szCs w:val="24"/>
        </w:rPr>
        <w:t xml:space="preserve">     </w:t>
      </w:r>
    </w:p>
    <w:p>
      <w:pPr>
        <w:pStyle w:val="4"/>
        <w:keepNext w:val="0"/>
        <w:keepLines w:val="0"/>
        <w:numPr>
          <w:ilvl w:val="0"/>
          <w:numId w:val="1"/>
        </w:numPr>
        <w:kinsoku w:val="0"/>
        <w:overflowPunct w:val="0"/>
        <w:autoSpaceDE w:val="0"/>
        <w:autoSpaceDN w:val="0"/>
        <w:spacing w:before="0" w:after="0" w:line="400" w:lineRule="atLeast"/>
        <w:ind w:left="0" w:leftChars="0" w:right="210" w:rightChars="100" w:firstLine="0" w:firstLineChars="0"/>
        <w:jc w:val="both"/>
        <w:textAlignment w:val="auto"/>
        <w:rPr>
          <w:rFonts w:hint="eastAsia" w:ascii="宋体" w:hAnsi="宋体" w:eastAsia="宋体"/>
          <w:bCs/>
          <w:sz w:val="24"/>
          <w:szCs w:val="24"/>
        </w:rPr>
      </w:pPr>
      <w:r>
        <w:rPr>
          <w:rFonts w:hint="eastAsia" w:ascii="宋体" w:hAnsi="宋体" w:eastAsia="宋体"/>
          <w:bCs/>
          <w:sz w:val="24"/>
          <w:szCs w:val="24"/>
        </w:rPr>
        <w:t>报价方资格要求</w:t>
      </w:r>
    </w:p>
    <w:p>
      <w:pPr>
        <w:pStyle w:val="4"/>
        <w:keepNext w:val="0"/>
        <w:keepLines w:val="0"/>
        <w:numPr>
          <w:ilvl w:val="0"/>
          <w:numId w:val="3"/>
        </w:numPr>
        <w:kinsoku w:val="0"/>
        <w:overflowPunct w:val="0"/>
        <w:autoSpaceDE w:val="0"/>
        <w:autoSpaceDN w:val="0"/>
        <w:spacing w:before="0" w:after="0" w:line="400" w:lineRule="atLeast"/>
        <w:ind w:left="0" w:leftChars="0" w:right="210" w:rightChars="100" w:firstLine="0" w:firstLineChars="0"/>
        <w:jc w:val="both"/>
        <w:textAlignment w:val="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中华人民共和国境内注册的独立法人企业，提供有效期内的营业执照复印件并加盖公章。</w:t>
      </w:r>
    </w:p>
    <w:p>
      <w:pPr>
        <w:pStyle w:val="4"/>
        <w:keepNext w:val="0"/>
        <w:keepLines w:val="0"/>
        <w:numPr>
          <w:ilvl w:val="0"/>
          <w:numId w:val="3"/>
        </w:numPr>
        <w:kinsoku w:val="0"/>
        <w:overflowPunct w:val="0"/>
        <w:autoSpaceDE w:val="0"/>
        <w:autoSpaceDN w:val="0"/>
        <w:spacing w:before="0" w:after="0" w:line="400" w:lineRule="atLeast"/>
        <w:ind w:left="0" w:leftChars="0" w:right="210" w:rightChars="100" w:firstLine="0" w:firstLineChars="0"/>
        <w:jc w:val="both"/>
        <w:textAlignment w:val="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报价方必须提供法定代表人身份证明书，若非企业法定代表人签字报价还需提交法人授权委托书。</w:t>
      </w:r>
    </w:p>
    <w:p>
      <w:pPr>
        <w:pStyle w:val="4"/>
        <w:keepNext w:val="0"/>
        <w:keepLines w:val="0"/>
        <w:numPr>
          <w:ilvl w:val="0"/>
          <w:numId w:val="3"/>
        </w:numPr>
        <w:kinsoku w:val="0"/>
        <w:overflowPunct w:val="0"/>
        <w:autoSpaceDE w:val="0"/>
        <w:autoSpaceDN w:val="0"/>
        <w:spacing w:before="0" w:after="0" w:line="400" w:lineRule="atLeast"/>
        <w:ind w:left="0" w:leftChars="0" w:right="210" w:rightChars="100" w:firstLine="0" w:firstLineChars="0"/>
        <w:jc w:val="both"/>
        <w:textAlignment w:val="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报价方是计划品牌范围制造商，提供相关制造许可证明材料，代理商提供代理授权书，原与我司合作过的供应商提供1份相关加盖公章的合同，未合作过的供应商提供自2018年起3个以上不同热电厂或火力发电厂供货合同业绩。证明材料为复印件加盖报价方公章。</w:t>
      </w:r>
    </w:p>
    <w:p>
      <w:pPr>
        <w:pStyle w:val="4"/>
        <w:keepNext w:val="0"/>
        <w:keepLines w:val="0"/>
        <w:numPr>
          <w:ilvl w:val="0"/>
          <w:numId w:val="3"/>
        </w:numPr>
        <w:kinsoku w:val="0"/>
        <w:overflowPunct w:val="0"/>
        <w:autoSpaceDE w:val="0"/>
        <w:autoSpaceDN w:val="0"/>
        <w:spacing w:before="0" w:after="0" w:line="400" w:lineRule="atLeast"/>
        <w:ind w:left="0" w:leftChars="0" w:right="210" w:rightChars="100" w:firstLine="0" w:firstLineChars="0"/>
        <w:jc w:val="both"/>
        <w:textAlignment w:val="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报价方为计划品牌同质及以上制造商，提供相关制造许可证明材料，代理商提供代理授权书，并提供自2018年起5个以上不同热电厂或火力发电厂高压阀门（PN≧10Mpa)供货合同业绩，证明材料为复印件加盖报价方公章。</w:t>
      </w:r>
    </w:p>
    <w:p>
      <w:pPr>
        <w:pStyle w:val="4"/>
        <w:keepNext w:val="0"/>
        <w:keepLines w:val="0"/>
        <w:numPr>
          <w:ilvl w:val="0"/>
          <w:numId w:val="1"/>
        </w:numPr>
        <w:kinsoku w:val="0"/>
        <w:overflowPunct w:val="0"/>
        <w:autoSpaceDE w:val="0"/>
        <w:autoSpaceDN w:val="0"/>
        <w:spacing w:before="0" w:after="0" w:line="400" w:lineRule="atLeast"/>
        <w:ind w:left="0" w:leftChars="0" w:right="210" w:rightChars="100" w:firstLine="0" w:firstLineChars="0"/>
        <w:jc w:val="both"/>
        <w:textAlignment w:val="auto"/>
        <w:rPr>
          <w:rFonts w:hint="eastAsia" w:ascii="宋体" w:hAnsi="宋体" w:eastAsia="宋体"/>
          <w:bCs/>
          <w:sz w:val="24"/>
          <w:szCs w:val="24"/>
        </w:rPr>
      </w:pPr>
      <w:bookmarkStart w:id="10" w:name="_Toc14515_WPSOffice_Level2"/>
      <w:bookmarkStart w:id="11" w:name="_Toc12893_WPSOffice_Level2"/>
      <w:bookmarkStart w:id="12" w:name="_Toc17676_WPSOffice_Level2"/>
      <w:bookmarkStart w:id="13" w:name="_Toc8150_WPSOffice_Level2"/>
      <w:bookmarkStart w:id="14" w:name="_Toc15058_WPSOffice_Level2"/>
      <w:r>
        <w:rPr>
          <w:rFonts w:hint="eastAsia" w:ascii="宋体" w:hAnsi="宋体" w:eastAsia="宋体"/>
          <w:bCs/>
          <w:sz w:val="24"/>
          <w:szCs w:val="24"/>
        </w:rPr>
        <w:t>报价截止时间</w:t>
      </w:r>
      <w:bookmarkEnd w:id="10"/>
      <w:bookmarkEnd w:id="11"/>
      <w:bookmarkEnd w:id="12"/>
      <w:bookmarkEnd w:id="13"/>
    </w:p>
    <w:bookmarkEnd w:id="14"/>
    <w:p>
      <w:pPr>
        <w:pStyle w:val="4"/>
        <w:keepNext w:val="0"/>
        <w:keepLines w:val="0"/>
        <w:numPr>
          <w:ilvl w:val="0"/>
          <w:numId w:val="4"/>
        </w:numPr>
        <w:kinsoku w:val="0"/>
        <w:overflowPunct w:val="0"/>
        <w:autoSpaceDE w:val="0"/>
        <w:autoSpaceDN w:val="0"/>
        <w:spacing w:before="0" w:after="0" w:line="400" w:lineRule="atLeast"/>
        <w:ind w:left="0" w:leftChars="0" w:right="210" w:rightChars="100" w:firstLine="0" w:firstLineChars="0"/>
        <w:jc w:val="both"/>
        <w:textAlignment w:val="auto"/>
        <w:rPr>
          <w:rFonts w:hint="eastAsia" w:ascii="宋体" w:hAnsi="宋体" w:eastAsia="宋体"/>
          <w:b w:val="0"/>
          <w:bCs w:val="0"/>
          <w:sz w:val="24"/>
          <w:szCs w:val="24"/>
          <w:lang w:val="en-US" w:eastAsia="zh-CN"/>
        </w:rPr>
      </w:pPr>
      <w:bookmarkStart w:id="15" w:name="_Toc14762_WPSOffice_Level2"/>
      <w:bookmarkStart w:id="16" w:name="_Toc11619_WPSOffice_Level2"/>
      <w:bookmarkStart w:id="17" w:name="_Toc11729_WPSOffice_Level2"/>
      <w:bookmarkStart w:id="18" w:name="_Toc14062_WPSOffice_Level2"/>
      <w:bookmarkStart w:id="19" w:name="_Toc6408_WPSOffice_Level2"/>
      <w:r>
        <w:rPr>
          <w:rFonts w:hint="eastAsia" w:ascii="宋体" w:hAnsi="宋体" w:eastAsia="宋体"/>
          <w:b w:val="0"/>
          <w:bCs w:val="0"/>
          <w:sz w:val="24"/>
          <w:szCs w:val="24"/>
          <w:lang w:val="en-US" w:eastAsia="zh-CN"/>
        </w:rPr>
        <w:t>报价文件须于2021年05月07日上午10:00（北京时间）之前提交到厦门市海沧区阳光西路288号，厦门海发环保能源股份有限公司2楼综合办。</w:t>
      </w:r>
    </w:p>
    <w:p>
      <w:pPr>
        <w:pStyle w:val="4"/>
        <w:keepNext w:val="0"/>
        <w:keepLines w:val="0"/>
        <w:numPr>
          <w:ilvl w:val="0"/>
          <w:numId w:val="4"/>
        </w:numPr>
        <w:kinsoku w:val="0"/>
        <w:overflowPunct w:val="0"/>
        <w:autoSpaceDE w:val="0"/>
        <w:autoSpaceDN w:val="0"/>
        <w:spacing w:before="0" w:after="0" w:line="400" w:lineRule="atLeast"/>
        <w:ind w:left="0" w:leftChars="0" w:right="210" w:rightChars="100" w:firstLine="0" w:firstLineChars="0"/>
        <w:jc w:val="both"/>
        <w:textAlignment w:val="auto"/>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采购方有权拒绝接受迟到的报价文件。</w:t>
      </w:r>
    </w:p>
    <w:p>
      <w:pPr>
        <w:pStyle w:val="4"/>
        <w:keepNext w:val="0"/>
        <w:keepLines w:val="0"/>
        <w:numPr>
          <w:ilvl w:val="0"/>
          <w:numId w:val="4"/>
        </w:numPr>
        <w:kinsoku w:val="0"/>
        <w:overflowPunct w:val="0"/>
        <w:autoSpaceDE w:val="0"/>
        <w:autoSpaceDN w:val="0"/>
        <w:spacing w:before="0" w:after="0" w:line="400" w:lineRule="atLeast"/>
        <w:ind w:left="0" w:leftChars="0" w:right="210" w:rightChars="100" w:firstLine="0" w:firstLineChars="0"/>
        <w:jc w:val="both"/>
        <w:textAlignment w:val="auto"/>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报价文件须盖单位公章，所有报价文件装入封袋密封后都必须在封口处盖章，并在密封袋上正确标明报价项目名称、同时加盖公章。</w:t>
      </w:r>
    </w:p>
    <w:p>
      <w:pPr>
        <w:pStyle w:val="4"/>
        <w:keepNext w:val="0"/>
        <w:keepLines w:val="0"/>
        <w:numPr>
          <w:ilvl w:val="0"/>
          <w:numId w:val="1"/>
        </w:numPr>
        <w:kinsoku w:val="0"/>
        <w:overflowPunct w:val="0"/>
        <w:autoSpaceDE w:val="0"/>
        <w:autoSpaceDN w:val="0"/>
        <w:spacing w:before="0" w:after="0" w:line="400" w:lineRule="atLeast"/>
        <w:ind w:left="0" w:leftChars="0" w:right="210" w:rightChars="100" w:firstLine="0" w:firstLineChars="0"/>
        <w:jc w:val="both"/>
        <w:textAlignment w:val="auto"/>
        <w:rPr>
          <w:rFonts w:hint="eastAsia" w:ascii="宋体" w:hAnsi="宋体" w:eastAsia="宋体"/>
          <w:bCs/>
          <w:sz w:val="24"/>
          <w:szCs w:val="24"/>
        </w:rPr>
      </w:pPr>
      <w:bookmarkStart w:id="20" w:name="_Toc17410_WPSOffice_Level2"/>
      <w:bookmarkStart w:id="21" w:name="_Toc25278_WPSOffice_Level2"/>
      <w:bookmarkStart w:id="22" w:name="_Toc17981_WPSOffice_Level2"/>
      <w:bookmarkStart w:id="23" w:name="_Toc24072_WPSOffice_Level2"/>
      <w:bookmarkStart w:id="24" w:name="_Toc22931_WPSOffice_Level2"/>
      <w:r>
        <w:rPr>
          <w:rFonts w:hint="eastAsia" w:ascii="宋体" w:hAnsi="宋体" w:eastAsia="宋体"/>
          <w:bCs/>
          <w:sz w:val="24"/>
          <w:szCs w:val="24"/>
          <w:lang w:val="en-US" w:eastAsia="zh-CN"/>
        </w:rPr>
        <w:t>评审</w:t>
      </w:r>
      <w:r>
        <w:rPr>
          <w:rFonts w:hint="eastAsia" w:ascii="宋体" w:hAnsi="宋体" w:eastAsia="宋体"/>
          <w:bCs/>
          <w:sz w:val="24"/>
          <w:szCs w:val="24"/>
        </w:rPr>
        <w:t>时间和地点</w:t>
      </w:r>
      <w:bookmarkEnd w:id="20"/>
      <w:bookmarkEnd w:id="21"/>
      <w:bookmarkEnd w:id="22"/>
      <w:bookmarkEnd w:id="23"/>
      <w:bookmarkEnd w:id="24"/>
    </w:p>
    <w:p>
      <w:pPr>
        <w:pStyle w:val="4"/>
        <w:keepNext w:val="0"/>
        <w:keepLines w:val="0"/>
        <w:numPr>
          <w:ilvl w:val="0"/>
          <w:numId w:val="5"/>
        </w:numPr>
        <w:kinsoku w:val="0"/>
        <w:overflowPunct w:val="0"/>
        <w:autoSpaceDE w:val="0"/>
        <w:autoSpaceDN w:val="0"/>
        <w:spacing w:before="0" w:after="0" w:line="400" w:lineRule="atLeast"/>
        <w:ind w:left="0" w:leftChars="0" w:right="210" w:rightChars="100" w:firstLine="0" w:firstLineChars="0"/>
        <w:jc w:val="both"/>
        <w:textAlignment w:val="auto"/>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采购方将于2021年05月07日上午10:00（北京时间），在厦门海发环保能源股份有限公司二楼评标室评审。</w:t>
      </w:r>
    </w:p>
    <w:p>
      <w:pPr>
        <w:pStyle w:val="4"/>
        <w:keepNext w:val="0"/>
        <w:keepLines w:val="0"/>
        <w:numPr>
          <w:ilvl w:val="0"/>
          <w:numId w:val="5"/>
        </w:numPr>
        <w:kinsoku w:val="0"/>
        <w:overflowPunct w:val="0"/>
        <w:autoSpaceDE w:val="0"/>
        <w:autoSpaceDN w:val="0"/>
        <w:spacing w:before="0" w:after="0" w:line="400" w:lineRule="atLeast"/>
        <w:ind w:left="0" w:leftChars="0" w:right="210" w:rightChars="100" w:firstLine="0" w:firstLineChars="0"/>
        <w:jc w:val="both"/>
        <w:textAlignment w:val="auto"/>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邀请报价方（当天递交报价文件）现场参与监督。</w:t>
      </w:r>
    </w:p>
    <w:p>
      <w:pPr>
        <w:pStyle w:val="4"/>
        <w:keepNext w:val="0"/>
        <w:keepLines w:val="0"/>
        <w:numPr>
          <w:ilvl w:val="0"/>
          <w:numId w:val="1"/>
        </w:numPr>
        <w:kinsoku w:val="0"/>
        <w:overflowPunct w:val="0"/>
        <w:autoSpaceDE w:val="0"/>
        <w:autoSpaceDN w:val="0"/>
        <w:spacing w:before="0" w:after="0" w:line="400" w:lineRule="atLeast"/>
        <w:ind w:left="0" w:leftChars="0" w:right="210" w:rightChars="100" w:firstLine="0" w:firstLineChars="0"/>
        <w:jc w:val="both"/>
        <w:textAlignment w:val="auto"/>
        <w:rPr>
          <w:rFonts w:hint="eastAsia" w:ascii="宋体" w:hAnsi="宋体" w:eastAsia="宋体"/>
          <w:bCs/>
          <w:sz w:val="24"/>
          <w:szCs w:val="24"/>
          <w:lang w:val="en-US" w:eastAsia="zh-CN"/>
        </w:rPr>
      </w:pPr>
      <w:r>
        <w:rPr>
          <w:rFonts w:hint="eastAsia" w:ascii="宋体" w:hAnsi="宋体" w:eastAsia="宋体"/>
          <w:bCs/>
          <w:sz w:val="24"/>
          <w:szCs w:val="24"/>
          <w:lang w:val="en-US" w:eastAsia="zh-CN"/>
        </w:rPr>
        <w:t>投标保证金及缴款注意事项</w:t>
      </w:r>
    </w:p>
    <w:p>
      <w:pPr>
        <w:pStyle w:val="4"/>
        <w:keepNext w:val="0"/>
        <w:keepLines w:val="0"/>
        <w:numPr>
          <w:ilvl w:val="0"/>
          <w:numId w:val="6"/>
        </w:numPr>
        <w:kinsoku w:val="0"/>
        <w:overflowPunct w:val="0"/>
        <w:autoSpaceDE w:val="0"/>
        <w:autoSpaceDN w:val="0"/>
        <w:spacing w:before="0" w:after="0" w:line="400" w:lineRule="atLeast"/>
        <w:ind w:left="0" w:leftChars="0" w:right="210" w:rightChars="100" w:firstLine="0" w:firstLineChars="0"/>
        <w:jc w:val="both"/>
        <w:textAlignment w:val="auto"/>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报价方报价前须缴纳投标保证金人民币叁千元整（￥3000.00），若未中标，采购方将在开标后10个工作日内无息退还该部分保证金。</w:t>
      </w:r>
    </w:p>
    <w:p>
      <w:pPr>
        <w:pStyle w:val="4"/>
        <w:keepNext w:val="0"/>
        <w:keepLines w:val="0"/>
        <w:numPr>
          <w:ilvl w:val="0"/>
          <w:numId w:val="6"/>
        </w:numPr>
        <w:kinsoku w:val="0"/>
        <w:overflowPunct w:val="0"/>
        <w:autoSpaceDE w:val="0"/>
        <w:autoSpaceDN w:val="0"/>
        <w:spacing w:before="0" w:after="0" w:line="400" w:lineRule="atLeast"/>
        <w:ind w:left="0" w:leftChars="0" w:right="210" w:rightChars="100" w:firstLine="0" w:firstLineChars="0"/>
        <w:jc w:val="both"/>
        <w:textAlignment w:val="auto"/>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不接受现场缴款，只能到银行以现金或转账方式缴款。</w:t>
      </w:r>
    </w:p>
    <w:p>
      <w:pPr>
        <w:pStyle w:val="4"/>
        <w:keepNext w:val="0"/>
        <w:keepLines w:val="0"/>
        <w:numPr>
          <w:ilvl w:val="0"/>
          <w:numId w:val="6"/>
        </w:numPr>
        <w:kinsoku w:val="0"/>
        <w:overflowPunct w:val="0"/>
        <w:autoSpaceDE w:val="0"/>
        <w:autoSpaceDN w:val="0"/>
        <w:spacing w:before="0" w:after="0" w:line="400" w:lineRule="atLeast"/>
        <w:ind w:left="0" w:leftChars="0" w:right="210" w:rightChars="100" w:firstLine="0" w:firstLineChars="0"/>
        <w:jc w:val="both"/>
        <w:textAlignment w:val="auto"/>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投标保证金收款单位：厦门海发环保能源股份有限公司</w:t>
      </w:r>
    </w:p>
    <w:p>
      <w:pPr>
        <w:spacing w:line="520" w:lineRule="exact"/>
        <w:ind w:firstLine="520" w:firstLineChars="200"/>
        <w:rPr>
          <w:rFonts w:hint="eastAsia" w:ascii="宋体" w:hAnsi="宋体" w:eastAsia="宋体" w:cstheme="minorBidi"/>
          <w:b w:val="0"/>
          <w:bCs w:val="0"/>
          <w:spacing w:val="10"/>
          <w:kern w:val="2"/>
          <w:sz w:val="24"/>
          <w:szCs w:val="24"/>
          <w:lang w:val="en-US" w:eastAsia="zh-CN" w:bidi="ar-SA"/>
        </w:rPr>
      </w:pPr>
      <w:r>
        <w:rPr>
          <w:rFonts w:hint="eastAsia" w:ascii="宋体" w:hAnsi="宋体" w:eastAsia="宋体" w:cstheme="minorBidi"/>
          <w:b w:val="0"/>
          <w:bCs w:val="0"/>
          <w:spacing w:val="10"/>
          <w:kern w:val="2"/>
          <w:sz w:val="24"/>
          <w:szCs w:val="24"/>
          <w:lang w:val="en-US" w:eastAsia="zh-CN" w:bidi="ar-SA"/>
        </w:rPr>
        <w:t>账号：35101561001052501775</w:t>
      </w:r>
    </w:p>
    <w:p>
      <w:pPr>
        <w:spacing w:line="520" w:lineRule="exact"/>
        <w:ind w:firstLine="520" w:firstLineChars="200"/>
        <w:rPr>
          <w:rFonts w:hint="eastAsia" w:ascii="宋体" w:hAnsi="宋体" w:eastAsia="宋体" w:cstheme="minorBidi"/>
          <w:b w:val="0"/>
          <w:bCs w:val="0"/>
          <w:spacing w:val="10"/>
          <w:kern w:val="2"/>
          <w:sz w:val="24"/>
          <w:szCs w:val="24"/>
          <w:lang w:val="en-US" w:eastAsia="zh-CN" w:bidi="ar-SA"/>
        </w:rPr>
      </w:pPr>
      <w:r>
        <w:rPr>
          <w:rFonts w:hint="eastAsia" w:ascii="宋体" w:hAnsi="宋体" w:eastAsia="宋体" w:cstheme="minorBidi"/>
          <w:b w:val="0"/>
          <w:bCs w:val="0"/>
          <w:spacing w:val="10"/>
          <w:kern w:val="2"/>
          <w:sz w:val="24"/>
          <w:szCs w:val="24"/>
          <w:lang w:val="en-US" w:eastAsia="zh-CN" w:bidi="ar-SA"/>
        </w:rPr>
        <w:t>开户行：中国建设银行厦门市分行厦禾支行</w:t>
      </w:r>
    </w:p>
    <w:p>
      <w:pPr>
        <w:spacing w:line="520" w:lineRule="exact"/>
        <w:ind w:firstLine="520" w:firstLineChars="200"/>
        <w:rPr>
          <w:rFonts w:hint="eastAsia" w:ascii="宋体" w:hAnsi="宋体" w:eastAsia="宋体" w:cstheme="minorBidi"/>
          <w:b w:val="0"/>
          <w:bCs w:val="0"/>
          <w:spacing w:val="10"/>
          <w:kern w:val="2"/>
          <w:sz w:val="24"/>
          <w:szCs w:val="24"/>
          <w:lang w:val="en-US" w:eastAsia="zh-CN" w:bidi="ar-SA"/>
        </w:rPr>
      </w:pPr>
      <w:r>
        <w:rPr>
          <w:rFonts w:hint="eastAsia" w:ascii="宋体" w:hAnsi="宋体" w:eastAsia="宋体" w:cstheme="minorBidi"/>
          <w:b w:val="0"/>
          <w:bCs w:val="0"/>
          <w:spacing w:val="10"/>
          <w:kern w:val="2"/>
          <w:sz w:val="24"/>
          <w:szCs w:val="24"/>
          <w:lang w:val="en-US" w:eastAsia="zh-CN" w:bidi="ar-SA"/>
        </w:rPr>
        <w:t>注意：投标保证金须存入或转入以上账号，其它收款单位均视为无效。</w:t>
      </w:r>
    </w:p>
    <w:p>
      <w:pPr>
        <w:pStyle w:val="4"/>
        <w:keepNext w:val="0"/>
        <w:keepLines w:val="0"/>
        <w:numPr>
          <w:ilvl w:val="0"/>
          <w:numId w:val="6"/>
        </w:numPr>
        <w:kinsoku w:val="0"/>
        <w:overflowPunct w:val="0"/>
        <w:autoSpaceDE w:val="0"/>
        <w:autoSpaceDN w:val="0"/>
        <w:spacing w:before="0" w:after="0" w:line="400" w:lineRule="atLeast"/>
        <w:ind w:left="0" w:leftChars="0" w:right="210" w:rightChars="100" w:firstLine="0" w:firstLineChars="0"/>
        <w:jc w:val="both"/>
        <w:textAlignment w:val="auto"/>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投标保证金缴交截止时间：2021年05月07日上午10:00。</w:t>
      </w:r>
    </w:p>
    <w:p>
      <w:pPr>
        <w:pStyle w:val="4"/>
        <w:keepNext w:val="0"/>
        <w:keepLines w:val="0"/>
        <w:numPr>
          <w:ilvl w:val="0"/>
          <w:numId w:val="1"/>
        </w:numPr>
        <w:kinsoku w:val="0"/>
        <w:overflowPunct w:val="0"/>
        <w:autoSpaceDE w:val="0"/>
        <w:autoSpaceDN w:val="0"/>
        <w:spacing w:before="0" w:after="0" w:line="400" w:lineRule="atLeast"/>
        <w:ind w:left="0" w:leftChars="0" w:right="210" w:rightChars="100" w:firstLine="0" w:firstLineChars="0"/>
        <w:jc w:val="both"/>
        <w:textAlignment w:val="auto"/>
        <w:rPr>
          <w:rFonts w:hint="eastAsia" w:ascii="宋体" w:hAnsi="宋体" w:eastAsia="宋体"/>
          <w:bCs/>
          <w:sz w:val="24"/>
          <w:szCs w:val="24"/>
          <w:lang w:val="en-US" w:eastAsia="zh-CN"/>
        </w:rPr>
      </w:pPr>
      <w:r>
        <w:rPr>
          <w:rFonts w:hint="eastAsia" w:ascii="宋体" w:hAnsi="宋体" w:eastAsia="宋体"/>
          <w:bCs/>
          <w:sz w:val="24"/>
          <w:szCs w:val="24"/>
          <w:lang w:val="en-US" w:eastAsia="zh-CN"/>
        </w:rPr>
        <w:t>成交原则</w:t>
      </w:r>
      <w:bookmarkEnd w:id="15"/>
      <w:bookmarkEnd w:id="16"/>
      <w:bookmarkEnd w:id="17"/>
      <w:bookmarkEnd w:id="18"/>
    </w:p>
    <w:bookmarkEnd w:id="19"/>
    <w:p>
      <w:pPr>
        <w:tabs>
          <w:tab w:val="left" w:pos="0"/>
        </w:tabs>
        <w:kinsoku w:val="0"/>
        <w:overflowPunct w:val="0"/>
        <w:spacing w:line="400" w:lineRule="atLeast"/>
        <w:ind w:right="210" w:rightChars="100" w:firstLine="480" w:firstLineChars="200"/>
        <w:jc w:val="left"/>
        <w:textAlignment w:val="auto"/>
        <w:rPr>
          <w:rFonts w:hint="eastAsia" w:ascii="宋体" w:hAnsi="宋体"/>
          <w:sz w:val="24"/>
          <w:szCs w:val="24"/>
        </w:rPr>
      </w:pPr>
      <w:bookmarkStart w:id="25" w:name="_Toc20683_WPSOffice_Level2"/>
      <w:bookmarkStart w:id="26" w:name="_Toc18288_WPSOffice_Level2"/>
      <w:bookmarkStart w:id="27" w:name="_Toc11529_WPSOffice_Level2"/>
      <w:bookmarkStart w:id="28" w:name="_Toc4523_WPSOffice_Level2"/>
      <w:bookmarkStart w:id="29" w:name="_Toc7789_WPSOffice_Level2"/>
      <w:r>
        <w:rPr>
          <w:rFonts w:hint="eastAsia" w:ascii="宋体" w:hAnsi="宋体"/>
          <w:sz w:val="24"/>
        </w:rPr>
        <w:t>本次谈判采用经评审合格最低价成交法</w:t>
      </w:r>
      <w:r>
        <w:rPr>
          <w:rFonts w:hint="eastAsia" w:ascii="宋体" w:hAnsi="宋体"/>
          <w:sz w:val="24"/>
          <w:szCs w:val="24"/>
        </w:rPr>
        <w:t>。</w:t>
      </w:r>
      <w:r>
        <w:rPr>
          <w:rFonts w:hint="eastAsia" w:ascii="宋体" w:hAnsi="宋体"/>
          <w:sz w:val="24"/>
          <w:szCs w:val="24"/>
          <w:lang w:val="en-US" w:eastAsia="zh-CN"/>
        </w:rPr>
        <w:t>本采购项目不进行二次报价，</w:t>
      </w:r>
      <w:r>
        <w:rPr>
          <w:rFonts w:hint="eastAsia" w:ascii="宋体" w:hAnsi="宋体"/>
          <w:sz w:val="24"/>
        </w:rPr>
        <w:t>通过资格</w:t>
      </w:r>
      <w:r>
        <w:rPr>
          <w:rFonts w:hint="eastAsia" w:ascii="宋体" w:hAnsi="宋体"/>
          <w:sz w:val="24"/>
          <w:szCs w:val="24"/>
        </w:rPr>
        <w:t>审查，符合</w:t>
      </w:r>
      <w:r>
        <w:rPr>
          <w:rFonts w:hint="eastAsia" w:ascii="宋体" w:hAnsi="宋体"/>
          <w:sz w:val="24"/>
          <w:szCs w:val="24"/>
          <w:lang w:val="en-US" w:eastAsia="zh-CN"/>
        </w:rPr>
        <w:t>询价</w:t>
      </w:r>
      <w:r>
        <w:rPr>
          <w:rFonts w:hint="eastAsia" w:ascii="宋体" w:hAnsi="宋体"/>
          <w:sz w:val="24"/>
          <w:szCs w:val="24"/>
        </w:rPr>
        <w:t>采购文件要求且报价最低的原则确定成交供应商。</w:t>
      </w:r>
    </w:p>
    <w:p>
      <w:pPr>
        <w:pStyle w:val="4"/>
        <w:keepNext w:val="0"/>
        <w:keepLines w:val="0"/>
        <w:numPr>
          <w:ilvl w:val="0"/>
          <w:numId w:val="1"/>
        </w:numPr>
        <w:kinsoku w:val="0"/>
        <w:overflowPunct w:val="0"/>
        <w:autoSpaceDE w:val="0"/>
        <w:autoSpaceDN w:val="0"/>
        <w:spacing w:before="0" w:after="0" w:line="400" w:lineRule="atLeast"/>
        <w:ind w:left="0" w:leftChars="0" w:right="210" w:rightChars="100" w:firstLine="0" w:firstLineChars="0"/>
        <w:jc w:val="both"/>
        <w:textAlignment w:val="auto"/>
        <w:rPr>
          <w:rFonts w:hint="eastAsia" w:ascii="宋体" w:hAnsi="宋体" w:eastAsia="宋体"/>
          <w:bCs/>
          <w:sz w:val="24"/>
          <w:szCs w:val="24"/>
          <w:lang w:val="en-US" w:eastAsia="zh-CN"/>
        </w:rPr>
      </w:pPr>
      <w:r>
        <w:rPr>
          <w:rFonts w:hint="eastAsia" w:ascii="宋体" w:hAnsi="宋体" w:eastAsia="宋体"/>
          <w:bCs/>
          <w:sz w:val="24"/>
          <w:szCs w:val="24"/>
          <w:lang w:val="en-US" w:eastAsia="zh-CN"/>
        </w:rPr>
        <w:t>联系人</w:t>
      </w:r>
      <w:bookmarkEnd w:id="25"/>
      <w:bookmarkEnd w:id="26"/>
      <w:bookmarkEnd w:id="27"/>
      <w:bookmarkEnd w:id="28"/>
    </w:p>
    <w:p>
      <w:pPr>
        <w:pStyle w:val="4"/>
        <w:keepNext w:val="0"/>
        <w:keepLines w:val="0"/>
        <w:pageBreakBefore w:val="0"/>
        <w:widowControl w:val="0"/>
        <w:kinsoku w:val="0"/>
        <w:wordWrap/>
        <w:overflowPunct w:val="0"/>
        <w:topLinePunct w:val="0"/>
        <w:autoSpaceDE w:val="0"/>
        <w:autoSpaceDN w:val="0"/>
        <w:bidi w:val="0"/>
        <w:adjustRightInd w:val="0"/>
        <w:snapToGrid w:val="0"/>
        <w:spacing w:before="0" w:after="0" w:line="420" w:lineRule="exact"/>
        <w:ind w:right="210" w:rightChars="100" w:firstLine="520" w:firstLineChars="200"/>
        <w:jc w:val="both"/>
        <w:textAlignment w:val="auto"/>
        <w:rPr>
          <w:rFonts w:hint="eastAsia" w:ascii="宋体" w:hAnsi="宋体" w:eastAsia="宋体"/>
          <w:b w:val="0"/>
          <w:sz w:val="24"/>
          <w:szCs w:val="24"/>
        </w:rPr>
      </w:pPr>
      <w:r>
        <w:rPr>
          <w:rFonts w:hint="eastAsia" w:ascii="宋体" w:hAnsi="宋体" w:eastAsia="宋体"/>
          <w:b w:val="0"/>
          <w:sz w:val="24"/>
          <w:szCs w:val="24"/>
        </w:rPr>
        <w:t>技术</w:t>
      </w:r>
      <w:r>
        <w:rPr>
          <w:rFonts w:hint="eastAsia" w:ascii="宋体" w:hAnsi="宋体" w:eastAsia="宋体"/>
          <w:b w:val="0"/>
          <w:sz w:val="24"/>
          <w:szCs w:val="24"/>
          <w:lang w:val="en-US" w:eastAsia="zh-CN"/>
        </w:rPr>
        <w:t xml:space="preserve">联系人：  </w:t>
      </w:r>
      <w:r>
        <w:rPr>
          <w:rFonts w:hint="eastAsia" w:ascii="宋体" w:hAnsi="宋体" w:eastAsia="宋体"/>
          <w:b w:val="0"/>
          <w:sz w:val="24"/>
          <w:szCs w:val="24"/>
        </w:rPr>
        <w:t>徐新焕</w:t>
      </w:r>
      <w:r>
        <w:rPr>
          <w:rFonts w:hint="eastAsia" w:ascii="宋体" w:hAnsi="宋体" w:eastAsia="宋体"/>
          <w:b w:val="0"/>
          <w:sz w:val="24"/>
          <w:szCs w:val="24"/>
          <w:lang w:val="en-US" w:eastAsia="zh-CN"/>
        </w:rPr>
        <w:t xml:space="preserve">   </w:t>
      </w:r>
      <w:r>
        <w:rPr>
          <w:rFonts w:hint="eastAsia" w:ascii="宋体" w:hAnsi="宋体" w:eastAsia="宋体"/>
          <w:b w:val="0"/>
          <w:sz w:val="24"/>
          <w:szCs w:val="24"/>
        </w:rPr>
        <w:t xml:space="preserve"> 联系电话：0592-6807513</w:t>
      </w:r>
    </w:p>
    <w:p>
      <w:pPr>
        <w:keepNext w:val="0"/>
        <w:keepLines w:val="0"/>
        <w:pageBreakBefore w:val="0"/>
        <w:widowControl w:val="0"/>
        <w:wordWrap/>
        <w:topLinePunct w:val="0"/>
        <w:bidi w:val="0"/>
        <w:adjustRightInd w:val="0"/>
        <w:snapToGrid w:val="0"/>
        <w:spacing w:line="420" w:lineRule="exact"/>
        <w:textAlignment w:val="auto"/>
        <w:rPr>
          <w:rFonts w:hint="default" w:eastAsia="宋体"/>
          <w:lang w:val="en-US" w:eastAsia="zh-CN"/>
        </w:rPr>
      </w:pPr>
      <w:r>
        <w:rPr>
          <w:rFonts w:hint="eastAsia" w:ascii="宋体" w:hAnsi="宋体" w:eastAsia="宋体"/>
          <w:b w:val="0"/>
          <w:sz w:val="24"/>
          <w:szCs w:val="24"/>
          <w:lang w:val="en-US" w:eastAsia="zh-CN"/>
        </w:rPr>
        <w:t xml:space="preserve">    报价文件接收人：林鹭莺     联系电话：13959259483</w:t>
      </w:r>
    </w:p>
    <w:bookmarkEnd w:id="29"/>
    <w:p>
      <w:pPr>
        <w:pStyle w:val="4"/>
        <w:keepNext w:val="0"/>
        <w:keepLines w:val="0"/>
        <w:numPr>
          <w:ilvl w:val="0"/>
          <w:numId w:val="1"/>
        </w:numPr>
        <w:kinsoku w:val="0"/>
        <w:overflowPunct w:val="0"/>
        <w:autoSpaceDE w:val="0"/>
        <w:autoSpaceDN w:val="0"/>
        <w:spacing w:before="0" w:after="0" w:line="400" w:lineRule="atLeast"/>
        <w:ind w:left="0" w:leftChars="0" w:right="210" w:rightChars="100" w:firstLine="0" w:firstLineChars="0"/>
        <w:jc w:val="both"/>
        <w:textAlignment w:val="auto"/>
        <w:rPr>
          <w:rFonts w:hint="eastAsia" w:ascii="宋体" w:hAnsi="宋体" w:eastAsia="宋体"/>
          <w:bCs/>
          <w:sz w:val="24"/>
          <w:szCs w:val="24"/>
          <w:lang w:val="en-US" w:eastAsia="zh-CN"/>
        </w:rPr>
      </w:pPr>
      <w:bookmarkStart w:id="30" w:name="_Toc12064_WPSOffice_Level2"/>
      <w:bookmarkStart w:id="31" w:name="_Toc22469_WPSOffice_Level2"/>
      <w:bookmarkStart w:id="32" w:name="_Toc4595_WPSOffice_Level2"/>
      <w:bookmarkStart w:id="33" w:name="_Toc18891_WPSOffice_Level2"/>
      <w:bookmarkStart w:id="34" w:name="_Toc15902_WPSOffice_Level2"/>
      <w:r>
        <w:rPr>
          <w:rFonts w:hint="eastAsia" w:ascii="宋体" w:hAnsi="宋体" w:eastAsia="宋体"/>
          <w:bCs/>
          <w:sz w:val="24"/>
          <w:szCs w:val="24"/>
          <w:lang w:val="en-US" w:eastAsia="zh-CN"/>
        </w:rPr>
        <w:t>监督电话</w:t>
      </w:r>
      <w:bookmarkEnd w:id="30"/>
      <w:bookmarkEnd w:id="31"/>
      <w:bookmarkEnd w:id="32"/>
      <w:bookmarkEnd w:id="33"/>
    </w:p>
    <w:p>
      <w:pPr>
        <w:pStyle w:val="4"/>
        <w:keepNext w:val="0"/>
        <w:keepLines w:val="0"/>
        <w:kinsoku w:val="0"/>
        <w:overflowPunct w:val="0"/>
        <w:autoSpaceDE w:val="0"/>
        <w:autoSpaceDN w:val="0"/>
        <w:spacing w:before="0" w:after="0" w:line="400" w:lineRule="atLeast"/>
        <w:ind w:right="210" w:rightChars="100" w:firstLine="520" w:firstLineChars="200"/>
        <w:jc w:val="both"/>
        <w:textAlignment w:val="auto"/>
        <w:rPr>
          <w:rFonts w:hint="eastAsia" w:ascii="宋体" w:hAnsi="宋体" w:eastAsia="宋体"/>
          <w:b w:val="0"/>
          <w:sz w:val="24"/>
          <w:szCs w:val="24"/>
        </w:rPr>
      </w:pPr>
      <w:r>
        <w:rPr>
          <w:rFonts w:hint="eastAsia" w:ascii="宋体" w:hAnsi="宋体" w:eastAsia="宋体"/>
          <w:b w:val="0"/>
          <w:sz w:val="24"/>
          <w:szCs w:val="24"/>
        </w:rPr>
        <w:t xml:space="preserve">0592-6807512，0592-6807528  </w:t>
      </w:r>
      <w:bookmarkEnd w:id="34"/>
      <w:r>
        <w:rPr>
          <w:rFonts w:hint="eastAsia" w:ascii="宋体" w:hAnsi="宋体" w:eastAsia="宋体"/>
          <w:b w:val="0"/>
          <w:sz w:val="24"/>
          <w:szCs w:val="24"/>
        </w:rPr>
        <w:t xml:space="preserve"> </w:t>
      </w:r>
    </w:p>
    <w:p>
      <w:pPr>
        <w:rPr>
          <w:rFonts w:hint="eastAsia" w:ascii="宋体" w:hAnsi="宋体" w:eastAsia="宋体"/>
          <w:b w:val="0"/>
          <w:sz w:val="24"/>
          <w:szCs w:val="24"/>
        </w:rPr>
      </w:pPr>
    </w:p>
    <w:p>
      <w:pPr>
        <w:spacing w:line="520" w:lineRule="exact"/>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rPr>
        <w:t>厦门海发环保能源股份有限公司</w:t>
      </w:r>
    </w:p>
    <w:p>
      <w:pPr>
        <w:spacing w:line="520" w:lineRule="exact"/>
        <w:ind w:firstLine="5600" w:firstLineChars="2000"/>
        <w:rPr>
          <w:rFonts w:asciiTheme="minorEastAsia" w:hAnsiTheme="minorEastAsia" w:cstheme="minorEastAsia"/>
          <w:sz w:val="28"/>
          <w:szCs w:val="28"/>
        </w:rPr>
      </w:pPr>
      <w:r>
        <w:rPr>
          <w:rFonts w:hint="eastAsia" w:asciiTheme="minorEastAsia" w:hAnsiTheme="minorEastAsia" w:cstheme="minorEastAsia"/>
          <w:sz w:val="28"/>
          <w:szCs w:val="28"/>
        </w:rPr>
        <w:t>2021年</w:t>
      </w: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25</w:t>
      </w:r>
      <w:bookmarkStart w:id="213" w:name="_GoBack"/>
      <w:bookmarkEnd w:id="213"/>
      <w:r>
        <w:rPr>
          <w:rFonts w:hint="eastAsia" w:asciiTheme="minorEastAsia" w:hAnsiTheme="minorEastAsia" w:cstheme="minorEastAsia"/>
          <w:sz w:val="28"/>
          <w:szCs w:val="28"/>
        </w:rPr>
        <w:t>日</w:t>
      </w:r>
    </w:p>
    <w:p>
      <w:pPr>
        <w:pStyle w:val="2"/>
        <w:rPr>
          <w:rFonts w:hint="eastAsia"/>
        </w:rPr>
      </w:pPr>
    </w:p>
    <w:p>
      <w:pPr>
        <w:pStyle w:val="2"/>
        <w:rPr>
          <w:rFonts w:hint="eastAsia"/>
        </w:rPr>
      </w:pPr>
    </w:p>
    <w:p>
      <w:pPr>
        <w:pStyle w:val="2"/>
        <w:rPr>
          <w:rFonts w:hint="eastAsia" w:eastAsiaTheme="minorEastAsia"/>
          <w:lang w:val="en-US" w:eastAsia="zh-CN"/>
        </w:rPr>
      </w:pPr>
    </w:p>
    <w:p>
      <w:pPr>
        <w:pStyle w:val="2"/>
        <w:rPr>
          <w:rFonts w:hint="eastAsia" w:eastAsiaTheme="minorEastAsia"/>
          <w:lang w:val="en-US" w:eastAsia="zh-CN"/>
        </w:rPr>
      </w:pPr>
    </w:p>
    <w:p>
      <w:pPr>
        <w:pStyle w:val="2"/>
        <w:rPr>
          <w:rFonts w:hint="eastAsia" w:eastAsiaTheme="minorEastAsia"/>
          <w:lang w:val="en-US" w:eastAsia="zh-CN"/>
        </w:rPr>
      </w:pPr>
    </w:p>
    <w:p>
      <w:pPr>
        <w:pStyle w:val="2"/>
        <w:rPr>
          <w:rFonts w:hint="eastAsia" w:eastAsiaTheme="minorEastAsia"/>
          <w:lang w:val="en-US" w:eastAsia="zh-CN"/>
        </w:rPr>
      </w:pPr>
    </w:p>
    <w:p>
      <w:pPr>
        <w:pStyle w:val="2"/>
        <w:rPr>
          <w:rFonts w:hint="eastAsia" w:eastAsiaTheme="minorEastAsia"/>
          <w:lang w:val="en-US" w:eastAsia="zh-CN"/>
        </w:rPr>
      </w:pPr>
    </w:p>
    <w:p>
      <w:pPr>
        <w:pStyle w:val="2"/>
        <w:rPr>
          <w:rFonts w:hint="eastAsia" w:eastAsiaTheme="minorEastAsia"/>
          <w:lang w:val="en-US" w:eastAsia="zh-CN"/>
        </w:rPr>
      </w:pPr>
    </w:p>
    <w:p>
      <w:pPr>
        <w:pStyle w:val="2"/>
        <w:rPr>
          <w:rFonts w:hint="eastAsia" w:eastAsiaTheme="minorEastAsia"/>
          <w:lang w:val="en-US" w:eastAsia="zh-CN"/>
        </w:rPr>
      </w:pPr>
    </w:p>
    <w:p>
      <w:pPr>
        <w:pStyle w:val="2"/>
        <w:rPr>
          <w:rFonts w:hint="eastAsia" w:eastAsiaTheme="minorEastAsia"/>
          <w:lang w:val="en-US" w:eastAsia="zh-CN"/>
        </w:rPr>
      </w:pPr>
    </w:p>
    <w:p>
      <w:pPr>
        <w:pStyle w:val="2"/>
        <w:rPr>
          <w:rFonts w:hint="eastAsia" w:eastAsiaTheme="minorEastAsia"/>
          <w:lang w:val="en-US" w:eastAsia="zh-CN"/>
        </w:rPr>
      </w:pPr>
    </w:p>
    <w:p>
      <w:pPr>
        <w:pStyle w:val="2"/>
        <w:rPr>
          <w:rFonts w:hint="eastAsia" w:eastAsiaTheme="minorEastAsia"/>
          <w:lang w:val="en-US" w:eastAsia="zh-CN"/>
        </w:rPr>
      </w:pPr>
    </w:p>
    <w:p>
      <w:pPr>
        <w:pStyle w:val="2"/>
        <w:rPr>
          <w:rFonts w:hint="eastAsia" w:eastAsiaTheme="minorEastAsia"/>
          <w:lang w:val="en-US" w:eastAsia="zh-CN"/>
        </w:rPr>
      </w:pPr>
    </w:p>
    <w:p>
      <w:pPr>
        <w:pStyle w:val="2"/>
        <w:rPr>
          <w:rFonts w:hint="eastAsia" w:eastAsiaTheme="minorEastAsia"/>
          <w:lang w:val="en-US" w:eastAsia="zh-CN"/>
        </w:rPr>
      </w:pPr>
    </w:p>
    <w:p>
      <w:pPr>
        <w:pStyle w:val="2"/>
        <w:rPr>
          <w:rFonts w:hint="eastAsia" w:eastAsiaTheme="minorEastAsia"/>
          <w:lang w:val="en-US" w:eastAsia="zh-CN"/>
        </w:rPr>
      </w:pPr>
    </w:p>
    <w:p>
      <w:pPr>
        <w:pStyle w:val="2"/>
        <w:rPr>
          <w:rFonts w:hint="eastAsia" w:eastAsiaTheme="minorEastAsia"/>
          <w:lang w:val="en-US" w:eastAsia="zh-CN"/>
        </w:rPr>
      </w:pPr>
    </w:p>
    <w:p>
      <w:pPr>
        <w:pStyle w:val="2"/>
        <w:rPr>
          <w:rFonts w:hint="eastAsia" w:eastAsiaTheme="minorEastAsia"/>
          <w:lang w:val="en-US" w:eastAsia="zh-CN"/>
        </w:rPr>
      </w:pPr>
    </w:p>
    <w:p>
      <w:pPr>
        <w:jc w:val="center"/>
        <w:rPr>
          <w:rFonts w:hint="eastAsia" w:cs="宋体"/>
          <w:bCs/>
          <w:color w:val="000000"/>
          <w:sz w:val="28"/>
          <w:szCs w:val="28"/>
        </w:rPr>
      </w:pPr>
    </w:p>
    <w:p>
      <w:pPr>
        <w:pStyle w:val="4"/>
        <w:keepNext w:val="0"/>
        <w:keepLines w:val="0"/>
        <w:kinsoku w:val="0"/>
        <w:overflowPunct w:val="0"/>
        <w:autoSpaceDE w:val="0"/>
        <w:autoSpaceDN w:val="0"/>
        <w:adjustRightInd/>
        <w:spacing w:before="0" w:after="0" w:line="400" w:lineRule="atLeast"/>
        <w:ind w:firstLine="522" w:firstLineChars="200"/>
        <w:jc w:val="center"/>
        <w:textAlignment w:val="auto"/>
        <w:outlineLvl w:val="0"/>
        <w:rPr>
          <w:rFonts w:hint="eastAsia" w:ascii="宋体" w:hAnsi="宋体" w:eastAsia="宋体"/>
          <w:bCs/>
          <w:sz w:val="24"/>
          <w:szCs w:val="24"/>
        </w:rPr>
      </w:pPr>
      <w:bookmarkStart w:id="35" w:name="_Toc28625_WPSOffice_Level1"/>
      <w:bookmarkStart w:id="36" w:name="_Toc11260_WPSOffice_Level1"/>
      <w:bookmarkStart w:id="37" w:name="_Toc9417_WPSOffice_Level1"/>
      <w:bookmarkStart w:id="38" w:name="_Toc32729_WPSOffice_Level1"/>
      <w:bookmarkStart w:id="39" w:name="_Toc7186_WPSOffice_Level1"/>
      <w:bookmarkStart w:id="40" w:name="_Toc22879"/>
      <w:r>
        <w:rPr>
          <w:rFonts w:hint="eastAsia" w:ascii="宋体" w:hAnsi="宋体" w:eastAsia="宋体"/>
          <w:bCs/>
          <w:sz w:val="24"/>
          <w:szCs w:val="24"/>
        </w:rPr>
        <w:t xml:space="preserve">第二部分 </w:t>
      </w:r>
      <w:r>
        <w:rPr>
          <w:rFonts w:hint="eastAsia" w:ascii="宋体" w:hAnsi="宋体" w:eastAsia="宋体"/>
          <w:bCs/>
          <w:sz w:val="24"/>
          <w:szCs w:val="24"/>
          <w:lang w:val="en-US" w:eastAsia="zh-CN"/>
        </w:rPr>
        <w:t>报价</w:t>
      </w:r>
      <w:r>
        <w:rPr>
          <w:rFonts w:hint="eastAsia" w:ascii="宋体" w:hAnsi="宋体" w:eastAsia="宋体"/>
          <w:bCs/>
          <w:sz w:val="24"/>
          <w:szCs w:val="24"/>
        </w:rPr>
        <w:t>须知</w:t>
      </w:r>
      <w:bookmarkEnd w:id="35"/>
      <w:bookmarkEnd w:id="36"/>
      <w:bookmarkEnd w:id="37"/>
      <w:bookmarkEnd w:id="38"/>
      <w:bookmarkEnd w:id="39"/>
      <w:bookmarkEnd w:id="40"/>
    </w:p>
    <w:p>
      <w:pPr>
        <w:pStyle w:val="4"/>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bookmarkStart w:id="41" w:name="_Toc5871_WPSOffice_Level2"/>
      <w:r>
        <w:rPr>
          <w:rFonts w:hint="eastAsia" w:ascii="宋体" w:hAnsi="宋体" w:eastAsia="宋体"/>
          <w:bCs/>
          <w:sz w:val="24"/>
          <w:szCs w:val="24"/>
        </w:rPr>
        <w:t>备注：</w:t>
      </w:r>
      <w:bookmarkEnd w:id="41"/>
    </w:p>
    <w:p>
      <w:pPr>
        <w:pStyle w:val="4"/>
        <w:keepNext w:val="0"/>
        <w:keepLines w:val="0"/>
        <w:numPr>
          <w:ilvl w:val="0"/>
          <w:numId w:val="7"/>
        </w:numPr>
        <w:kinsoku w:val="0"/>
        <w:overflowPunct w:val="0"/>
        <w:autoSpaceDE w:val="0"/>
        <w:autoSpaceDN w:val="0"/>
        <w:adjustRightInd/>
        <w:spacing w:before="0" w:after="0" w:line="400" w:lineRule="atLeast"/>
        <w:jc w:val="both"/>
        <w:textAlignment w:val="auto"/>
        <w:rPr>
          <w:rFonts w:hint="eastAsia" w:ascii="宋体" w:hAnsi="宋体" w:eastAsia="宋体"/>
          <w:bCs/>
          <w:sz w:val="24"/>
          <w:szCs w:val="24"/>
        </w:rPr>
      </w:pPr>
      <w:r>
        <w:rPr>
          <w:rFonts w:hint="eastAsia" w:ascii="宋体" w:hAnsi="宋体" w:eastAsia="宋体"/>
          <w:bCs/>
          <w:sz w:val="24"/>
          <w:szCs w:val="24"/>
        </w:rPr>
        <w:t>全文中带有“*”的条款为关键性条款，如报价方对这些关键性条款存在任何负偏离或不满足将导致报价无效。</w:t>
      </w:r>
    </w:p>
    <w:p>
      <w:pPr>
        <w:pStyle w:val="4"/>
        <w:keepNext w:val="0"/>
        <w:keepLines w:val="0"/>
        <w:numPr>
          <w:ilvl w:val="0"/>
          <w:numId w:val="7"/>
        </w:numPr>
        <w:kinsoku w:val="0"/>
        <w:overflowPunct w:val="0"/>
        <w:autoSpaceDE w:val="0"/>
        <w:autoSpaceDN w:val="0"/>
        <w:adjustRightInd/>
        <w:spacing w:before="0" w:after="0" w:line="400" w:lineRule="atLeast"/>
        <w:jc w:val="both"/>
        <w:textAlignment w:val="auto"/>
        <w:rPr>
          <w:rFonts w:hint="eastAsia" w:ascii="宋体" w:hAnsi="宋体" w:eastAsia="宋体"/>
          <w:bCs/>
          <w:sz w:val="24"/>
          <w:szCs w:val="24"/>
        </w:rPr>
      </w:pPr>
      <w:r>
        <w:rPr>
          <w:rFonts w:hint="eastAsia" w:ascii="宋体" w:hAnsi="宋体" w:eastAsia="宋体"/>
          <w:bCs/>
          <w:sz w:val="24"/>
          <w:szCs w:val="24"/>
          <w:lang w:val="en-US" w:eastAsia="zh-CN"/>
        </w:rPr>
        <w:t>采购</w:t>
      </w:r>
      <w:r>
        <w:rPr>
          <w:rFonts w:hint="eastAsia" w:ascii="宋体" w:hAnsi="宋体" w:eastAsia="宋体"/>
          <w:bCs/>
          <w:sz w:val="24"/>
          <w:szCs w:val="24"/>
        </w:rPr>
        <w:t>文件中所述技术要求，应视为保证实现本项目施工所需要的最低要求，如有遗漏，报价方应予以补充，否则，一旦成交将认为报价方认同遗漏部分并免费提供。</w:t>
      </w:r>
    </w:p>
    <w:p>
      <w:pPr>
        <w:pStyle w:val="4"/>
        <w:keepNext w:val="0"/>
        <w:keepLines w:val="0"/>
        <w:numPr>
          <w:ilvl w:val="0"/>
          <w:numId w:val="8"/>
        </w:numPr>
        <w:kinsoku w:val="0"/>
        <w:overflowPunct w:val="0"/>
        <w:autoSpaceDE w:val="0"/>
        <w:autoSpaceDN w:val="0"/>
        <w:spacing w:before="0" w:after="0" w:line="400" w:lineRule="atLeast"/>
        <w:ind w:left="0" w:leftChars="0" w:right="210" w:rightChars="100" w:firstLine="0" w:firstLineChars="0"/>
        <w:jc w:val="both"/>
        <w:textAlignment w:val="auto"/>
        <w:rPr>
          <w:rFonts w:hint="eastAsia" w:ascii="宋体" w:hAnsi="宋体" w:eastAsia="宋体"/>
          <w:bCs/>
          <w:sz w:val="24"/>
          <w:szCs w:val="24"/>
          <w:lang w:val="en-US" w:eastAsia="zh-CN"/>
        </w:rPr>
      </w:pPr>
      <w:bookmarkStart w:id="42" w:name="_Toc7295_WPSOffice_Level2"/>
      <w:r>
        <w:rPr>
          <w:rFonts w:hint="eastAsia" w:ascii="宋体" w:hAnsi="宋体" w:eastAsia="宋体"/>
          <w:bCs/>
          <w:sz w:val="24"/>
          <w:szCs w:val="24"/>
          <w:lang w:val="en-US" w:eastAsia="zh-CN"/>
        </w:rPr>
        <w:t>报价文件</w:t>
      </w:r>
      <w:bookmarkEnd w:id="42"/>
    </w:p>
    <w:p>
      <w:pPr>
        <w:pStyle w:val="4"/>
        <w:keepNext w:val="0"/>
        <w:keepLines w:val="0"/>
        <w:numPr>
          <w:ilvl w:val="0"/>
          <w:numId w:val="9"/>
        </w:numPr>
        <w:kinsoku w:val="0"/>
        <w:overflowPunct w:val="0"/>
        <w:autoSpaceDE w:val="0"/>
        <w:autoSpaceDN w:val="0"/>
        <w:spacing w:before="0" w:after="0" w:line="400" w:lineRule="atLeast"/>
        <w:ind w:left="0" w:leftChars="0" w:right="210" w:rightChars="100" w:firstLine="0" w:firstLineChars="0"/>
        <w:jc w:val="both"/>
        <w:textAlignment w:val="auto"/>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询价采购邀请书</w:t>
      </w:r>
    </w:p>
    <w:p>
      <w:pPr>
        <w:pStyle w:val="4"/>
        <w:keepNext w:val="0"/>
        <w:keepLines w:val="0"/>
        <w:numPr>
          <w:ilvl w:val="0"/>
          <w:numId w:val="9"/>
        </w:numPr>
        <w:kinsoku w:val="0"/>
        <w:overflowPunct w:val="0"/>
        <w:autoSpaceDE w:val="0"/>
        <w:autoSpaceDN w:val="0"/>
        <w:spacing w:before="0" w:after="0" w:line="400" w:lineRule="atLeast"/>
        <w:ind w:left="0" w:leftChars="0" w:right="210" w:rightChars="100" w:firstLine="0" w:firstLineChars="0"/>
        <w:jc w:val="both"/>
        <w:textAlignment w:val="auto"/>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报价须知</w:t>
      </w:r>
    </w:p>
    <w:p>
      <w:pPr>
        <w:pStyle w:val="4"/>
        <w:keepNext w:val="0"/>
        <w:keepLines w:val="0"/>
        <w:numPr>
          <w:ilvl w:val="0"/>
          <w:numId w:val="9"/>
        </w:numPr>
        <w:kinsoku w:val="0"/>
        <w:overflowPunct w:val="0"/>
        <w:autoSpaceDE w:val="0"/>
        <w:autoSpaceDN w:val="0"/>
        <w:spacing w:before="0" w:after="0" w:line="400" w:lineRule="atLeast"/>
        <w:ind w:left="0" w:leftChars="0" w:right="210" w:rightChars="100" w:firstLine="0" w:firstLineChars="0"/>
        <w:jc w:val="both"/>
        <w:textAlignment w:val="auto"/>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技术规范书</w:t>
      </w:r>
    </w:p>
    <w:p>
      <w:pPr>
        <w:pStyle w:val="4"/>
        <w:keepNext w:val="0"/>
        <w:keepLines w:val="0"/>
        <w:numPr>
          <w:ilvl w:val="0"/>
          <w:numId w:val="9"/>
        </w:numPr>
        <w:kinsoku w:val="0"/>
        <w:overflowPunct w:val="0"/>
        <w:autoSpaceDE w:val="0"/>
        <w:autoSpaceDN w:val="0"/>
        <w:spacing w:before="0" w:after="0" w:line="400" w:lineRule="atLeast"/>
        <w:ind w:left="0" w:leftChars="0" w:right="210" w:rightChars="100" w:firstLine="0" w:firstLineChars="0"/>
        <w:jc w:val="both"/>
        <w:textAlignment w:val="auto"/>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合同主要条款</w:t>
      </w:r>
    </w:p>
    <w:p>
      <w:pPr>
        <w:pStyle w:val="4"/>
        <w:keepNext w:val="0"/>
        <w:keepLines w:val="0"/>
        <w:numPr>
          <w:ilvl w:val="0"/>
          <w:numId w:val="9"/>
        </w:numPr>
        <w:kinsoku w:val="0"/>
        <w:overflowPunct w:val="0"/>
        <w:autoSpaceDE w:val="0"/>
        <w:autoSpaceDN w:val="0"/>
        <w:spacing w:before="0" w:after="0" w:line="400" w:lineRule="atLeast"/>
        <w:ind w:left="0" w:leftChars="0" w:right="210" w:rightChars="100" w:firstLine="0" w:firstLineChars="0"/>
        <w:jc w:val="both"/>
        <w:textAlignment w:val="auto"/>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响应报价文件格式</w:t>
      </w:r>
    </w:p>
    <w:p>
      <w:pPr>
        <w:pStyle w:val="4"/>
        <w:keepNext w:val="0"/>
        <w:keepLines w:val="0"/>
        <w:numPr>
          <w:ilvl w:val="0"/>
          <w:numId w:val="8"/>
        </w:numPr>
        <w:kinsoku w:val="0"/>
        <w:overflowPunct w:val="0"/>
        <w:autoSpaceDE w:val="0"/>
        <w:autoSpaceDN w:val="0"/>
        <w:spacing w:before="0" w:after="0" w:line="400" w:lineRule="atLeast"/>
        <w:ind w:left="0" w:leftChars="0" w:right="210" w:rightChars="100" w:firstLine="0" w:firstLineChars="0"/>
        <w:jc w:val="both"/>
        <w:textAlignment w:val="auto"/>
        <w:rPr>
          <w:rFonts w:hint="eastAsia" w:ascii="宋体" w:hAnsi="宋体" w:eastAsia="宋体"/>
          <w:bCs/>
          <w:sz w:val="24"/>
          <w:szCs w:val="24"/>
          <w:lang w:val="en-US" w:eastAsia="zh-CN"/>
        </w:rPr>
      </w:pPr>
      <w:r>
        <w:rPr>
          <w:rFonts w:hint="eastAsia" w:ascii="宋体" w:hAnsi="宋体" w:eastAsia="宋体"/>
          <w:bCs/>
          <w:sz w:val="24"/>
          <w:szCs w:val="24"/>
          <w:lang w:val="en-US" w:eastAsia="zh-CN"/>
        </w:rPr>
        <w:t>采购文件的澄清和修改</w:t>
      </w:r>
    </w:p>
    <w:p>
      <w:pPr>
        <w:pStyle w:val="4"/>
        <w:keepNext w:val="0"/>
        <w:keepLines w:val="0"/>
        <w:numPr>
          <w:ilvl w:val="0"/>
          <w:numId w:val="10"/>
        </w:numPr>
        <w:kinsoku w:val="0"/>
        <w:overflowPunct w:val="0"/>
        <w:autoSpaceDE w:val="0"/>
        <w:autoSpaceDN w:val="0"/>
        <w:spacing w:before="0" w:after="0" w:line="400" w:lineRule="atLeast"/>
        <w:ind w:left="0" w:leftChars="0" w:right="210" w:rightChars="100" w:firstLine="0" w:firstLineChars="0"/>
        <w:jc w:val="both"/>
        <w:textAlignment w:val="auto"/>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询价文件的澄清</w:t>
      </w:r>
    </w:p>
    <w:p>
      <w:pPr>
        <w:pStyle w:val="4"/>
        <w:keepNext w:val="0"/>
        <w:keepLines w:val="0"/>
        <w:kinsoku w:val="0"/>
        <w:overflowPunct w:val="0"/>
        <w:autoSpaceDE w:val="0"/>
        <w:autoSpaceDN w:val="0"/>
        <w:adjustRightInd/>
        <w:spacing w:before="0" w:after="0" w:line="400" w:lineRule="atLeast"/>
        <w:ind w:firstLine="520" w:firstLineChars="200"/>
        <w:jc w:val="both"/>
        <w:textAlignment w:val="auto"/>
        <w:rPr>
          <w:rFonts w:hint="eastAsia" w:ascii="宋体" w:hAnsi="宋体" w:eastAsia="宋体"/>
          <w:b w:val="0"/>
          <w:spacing w:val="0"/>
          <w:sz w:val="24"/>
          <w:szCs w:val="24"/>
        </w:rPr>
      </w:pPr>
      <w:r>
        <w:rPr>
          <w:rFonts w:hint="eastAsia" w:ascii="宋体" w:hAnsi="宋体" w:eastAsia="宋体"/>
          <w:b w:val="0"/>
          <w:sz w:val="24"/>
          <w:szCs w:val="24"/>
        </w:rPr>
        <w:t>报价方对</w:t>
      </w:r>
      <w:r>
        <w:rPr>
          <w:rFonts w:hint="eastAsia" w:ascii="宋体" w:hAnsi="宋体" w:eastAsia="宋体"/>
          <w:b w:val="0"/>
          <w:sz w:val="24"/>
          <w:szCs w:val="24"/>
          <w:lang w:val="en-US" w:eastAsia="zh-CN"/>
        </w:rPr>
        <w:t>询价</w:t>
      </w:r>
      <w:r>
        <w:rPr>
          <w:rFonts w:hint="eastAsia" w:ascii="宋体" w:hAnsi="宋体" w:eastAsia="宋体"/>
          <w:b w:val="0"/>
          <w:sz w:val="24"/>
          <w:szCs w:val="24"/>
        </w:rPr>
        <w:t>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Pr>
          <w:rFonts w:hint="eastAsia" w:ascii="宋体" w:hAnsi="宋体" w:eastAsia="宋体"/>
          <w:b w:val="0"/>
          <w:spacing w:val="0"/>
          <w:sz w:val="24"/>
          <w:szCs w:val="24"/>
        </w:rPr>
        <w:t>复作为</w:t>
      </w:r>
      <w:r>
        <w:rPr>
          <w:rFonts w:hint="eastAsia" w:ascii="宋体" w:hAnsi="宋体" w:eastAsia="宋体"/>
          <w:b w:val="0"/>
          <w:spacing w:val="0"/>
          <w:sz w:val="24"/>
          <w:szCs w:val="24"/>
          <w:lang w:val="en-US" w:eastAsia="zh-CN"/>
        </w:rPr>
        <w:t>询价</w:t>
      </w:r>
      <w:r>
        <w:rPr>
          <w:rFonts w:hint="eastAsia" w:ascii="宋体" w:hAnsi="宋体" w:eastAsia="宋体"/>
          <w:b w:val="0"/>
          <w:spacing w:val="0"/>
          <w:sz w:val="24"/>
          <w:szCs w:val="24"/>
        </w:rPr>
        <w:t>文件的一部分，对报价方有约束力。</w:t>
      </w:r>
    </w:p>
    <w:p>
      <w:pPr>
        <w:pStyle w:val="4"/>
        <w:keepNext w:val="0"/>
        <w:keepLines w:val="0"/>
        <w:numPr>
          <w:ilvl w:val="0"/>
          <w:numId w:val="10"/>
        </w:numPr>
        <w:kinsoku w:val="0"/>
        <w:overflowPunct w:val="0"/>
        <w:autoSpaceDE w:val="0"/>
        <w:autoSpaceDN w:val="0"/>
        <w:spacing w:before="0" w:after="0" w:line="400" w:lineRule="atLeast"/>
        <w:ind w:left="0" w:leftChars="0" w:right="210" w:rightChars="100" w:firstLine="0" w:firstLineChars="0"/>
        <w:jc w:val="both"/>
        <w:textAlignment w:val="auto"/>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询价文件的修改</w:t>
      </w:r>
    </w:p>
    <w:p>
      <w:pPr>
        <w:pStyle w:val="4"/>
        <w:keepNext w:val="0"/>
        <w:keepLines w:val="0"/>
        <w:kinsoku w:val="0"/>
        <w:overflowPunct w:val="0"/>
        <w:autoSpaceDE w:val="0"/>
        <w:autoSpaceDN w:val="0"/>
        <w:adjustRightInd/>
        <w:spacing w:before="0" w:after="0" w:line="400" w:lineRule="atLeast"/>
        <w:ind w:firstLine="520" w:firstLineChars="200"/>
        <w:jc w:val="both"/>
        <w:textAlignment w:val="auto"/>
        <w:rPr>
          <w:rFonts w:hint="eastAsia" w:ascii="宋体" w:hAnsi="宋体" w:eastAsia="宋体"/>
          <w:b w:val="0"/>
          <w:sz w:val="24"/>
          <w:szCs w:val="24"/>
        </w:rPr>
      </w:pPr>
      <w:r>
        <w:rPr>
          <w:rFonts w:hint="eastAsia" w:ascii="宋体" w:hAnsi="宋体" w:eastAsia="宋体"/>
          <w:b w:val="0"/>
          <w:sz w:val="24"/>
          <w:szCs w:val="24"/>
        </w:rPr>
        <w:t>采购方可以在报价文件投递截止时间之前的任何时候对</w:t>
      </w:r>
      <w:r>
        <w:rPr>
          <w:rFonts w:hint="eastAsia" w:ascii="宋体" w:hAnsi="宋体" w:eastAsia="宋体"/>
          <w:b w:val="0"/>
          <w:sz w:val="24"/>
          <w:szCs w:val="24"/>
          <w:lang w:val="en-US" w:eastAsia="zh-CN"/>
        </w:rPr>
        <w:t>询价</w:t>
      </w:r>
      <w:r>
        <w:rPr>
          <w:rFonts w:hint="eastAsia" w:ascii="宋体" w:hAnsi="宋体" w:eastAsia="宋体"/>
          <w:b w:val="0"/>
          <w:sz w:val="24"/>
          <w:szCs w:val="24"/>
        </w:rPr>
        <w:t>文件进行修改。由于</w:t>
      </w:r>
      <w:r>
        <w:rPr>
          <w:rFonts w:hint="eastAsia" w:ascii="宋体" w:hAnsi="宋体" w:eastAsia="宋体"/>
          <w:b w:val="0"/>
          <w:sz w:val="24"/>
          <w:szCs w:val="24"/>
          <w:lang w:val="en-US" w:eastAsia="zh-CN"/>
        </w:rPr>
        <w:t>询价</w:t>
      </w:r>
      <w:r>
        <w:rPr>
          <w:rFonts w:hint="eastAsia" w:ascii="宋体" w:hAnsi="宋体" w:eastAsia="宋体"/>
          <w:b w:val="0"/>
          <w:sz w:val="24"/>
          <w:szCs w:val="24"/>
        </w:rPr>
        <w:t>文件的修改可适当延长报价文件投递截止时间。</w:t>
      </w:r>
      <w:r>
        <w:rPr>
          <w:rFonts w:hint="eastAsia" w:ascii="宋体" w:hAnsi="宋体" w:eastAsia="宋体"/>
          <w:b w:val="0"/>
          <w:sz w:val="24"/>
          <w:szCs w:val="24"/>
          <w:lang w:val="en-US" w:eastAsia="zh-CN"/>
        </w:rPr>
        <w:t>询</w:t>
      </w:r>
      <w:r>
        <w:rPr>
          <w:rFonts w:hint="eastAsia" w:ascii="宋体" w:hAnsi="宋体" w:eastAsia="宋体"/>
          <w:b w:val="0"/>
          <w:sz w:val="24"/>
          <w:szCs w:val="24"/>
        </w:rPr>
        <w:t>价文件的修改将以书面形式（邮件、传真等方式）发给所有已知报价方，该修改书将构成谈判文件的一部分，对报价方有约束力。报价方在收到通知后应立即以书面形式（邮件、传真等方式）予以确认。</w:t>
      </w:r>
    </w:p>
    <w:p>
      <w:pPr>
        <w:pStyle w:val="4"/>
        <w:keepNext w:val="0"/>
        <w:keepLines w:val="0"/>
        <w:numPr>
          <w:ilvl w:val="0"/>
          <w:numId w:val="8"/>
        </w:numPr>
        <w:kinsoku w:val="0"/>
        <w:overflowPunct w:val="0"/>
        <w:autoSpaceDE w:val="0"/>
        <w:autoSpaceDN w:val="0"/>
        <w:spacing w:before="0" w:after="0" w:line="400" w:lineRule="atLeast"/>
        <w:ind w:left="0" w:leftChars="0" w:right="210" w:rightChars="100" w:firstLine="0" w:firstLineChars="0"/>
        <w:jc w:val="both"/>
        <w:textAlignment w:val="auto"/>
        <w:rPr>
          <w:rFonts w:hint="eastAsia" w:ascii="宋体" w:hAnsi="宋体" w:eastAsia="宋体"/>
          <w:bCs/>
          <w:sz w:val="24"/>
          <w:szCs w:val="24"/>
          <w:lang w:val="en-US" w:eastAsia="zh-CN"/>
        </w:rPr>
      </w:pPr>
      <w:r>
        <w:rPr>
          <w:rFonts w:hint="eastAsia" w:ascii="宋体" w:hAnsi="宋体" w:eastAsia="宋体"/>
          <w:bCs/>
          <w:sz w:val="24"/>
          <w:szCs w:val="24"/>
          <w:lang w:val="en-US" w:eastAsia="zh-CN"/>
        </w:rPr>
        <w:t>响应文件的编制</w:t>
      </w:r>
    </w:p>
    <w:p>
      <w:pPr>
        <w:numPr>
          <w:ilvl w:val="0"/>
          <w:numId w:val="11"/>
        </w:numPr>
        <w:snapToGrid w:val="0"/>
        <w:spacing w:line="400" w:lineRule="atLeast"/>
        <w:jc w:val="left"/>
        <w:textAlignment w:val="auto"/>
        <w:rPr>
          <w:rFonts w:hint="eastAsia" w:ascii="宋体" w:hAnsi="宋体"/>
          <w:sz w:val="24"/>
          <w:szCs w:val="24"/>
        </w:rPr>
      </w:pPr>
      <w:bookmarkStart w:id="43" w:name="_Toc24455233"/>
      <w:bookmarkStart w:id="44" w:name="_Toc24083813"/>
      <w:bookmarkStart w:id="45" w:name="_Toc229281571"/>
      <w:bookmarkStart w:id="46" w:name="_Toc260238416"/>
      <w:bookmarkStart w:id="47" w:name="_Toc28706_WPSOffice_Level2"/>
      <w:bookmarkStart w:id="48" w:name="_Toc260230612"/>
      <w:bookmarkStart w:id="49" w:name="_Toc1802_WPSOffice_Level2"/>
      <w:bookmarkStart w:id="50" w:name="_Toc33340838"/>
      <w:bookmarkStart w:id="51" w:name="_Toc293413480"/>
      <w:bookmarkStart w:id="52" w:name="_Toc17624_WPSOffice_Level2"/>
      <w:bookmarkStart w:id="53" w:name="_Toc12004_WPSOffice_Level2"/>
      <w:r>
        <w:rPr>
          <w:rFonts w:hint="eastAsia" w:ascii="宋体" w:hAnsi="宋体"/>
          <w:sz w:val="24"/>
          <w:szCs w:val="24"/>
        </w:rPr>
        <w:t>响应函；</w:t>
      </w:r>
    </w:p>
    <w:p>
      <w:pPr>
        <w:numPr>
          <w:ilvl w:val="0"/>
          <w:numId w:val="11"/>
        </w:numPr>
        <w:snapToGrid w:val="0"/>
        <w:spacing w:line="400" w:lineRule="atLeast"/>
        <w:jc w:val="left"/>
        <w:textAlignment w:val="auto"/>
        <w:rPr>
          <w:rFonts w:hint="eastAsia" w:ascii="宋体" w:hAnsi="宋体"/>
          <w:sz w:val="24"/>
          <w:szCs w:val="24"/>
        </w:rPr>
      </w:pPr>
      <w:r>
        <w:rPr>
          <w:rFonts w:hint="eastAsia" w:ascii="宋体" w:hAnsi="宋体"/>
          <w:sz w:val="24"/>
          <w:szCs w:val="24"/>
        </w:rPr>
        <w:t>报价表；</w:t>
      </w:r>
    </w:p>
    <w:p>
      <w:pPr>
        <w:numPr>
          <w:ilvl w:val="0"/>
          <w:numId w:val="11"/>
        </w:numPr>
        <w:snapToGrid w:val="0"/>
        <w:spacing w:line="400" w:lineRule="atLeast"/>
        <w:jc w:val="left"/>
        <w:textAlignment w:val="auto"/>
        <w:rPr>
          <w:rFonts w:hint="eastAsia" w:ascii="宋体" w:hAnsi="宋体"/>
          <w:sz w:val="24"/>
          <w:szCs w:val="24"/>
        </w:rPr>
      </w:pPr>
      <w:r>
        <w:rPr>
          <w:rFonts w:hint="eastAsia" w:ascii="宋体" w:hAnsi="宋体"/>
          <w:sz w:val="24"/>
          <w:szCs w:val="24"/>
        </w:rPr>
        <w:t>法定代表人</w:t>
      </w:r>
      <w:r>
        <w:rPr>
          <w:rFonts w:hint="eastAsia" w:ascii="宋体" w:hAnsi="宋体"/>
          <w:sz w:val="24"/>
          <w:szCs w:val="24"/>
          <w:lang w:val="en-US" w:eastAsia="zh-CN"/>
        </w:rPr>
        <w:t>身份</w:t>
      </w:r>
      <w:r>
        <w:rPr>
          <w:rFonts w:hint="eastAsia" w:ascii="宋体" w:hAnsi="宋体"/>
          <w:sz w:val="24"/>
          <w:szCs w:val="24"/>
        </w:rPr>
        <w:t>证明书；</w:t>
      </w:r>
    </w:p>
    <w:p>
      <w:pPr>
        <w:numPr>
          <w:ilvl w:val="0"/>
          <w:numId w:val="11"/>
        </w:numPr>
        <w:snapToGrid w:val="0"/>
        <w:spacing w:line="400" w:lineRule="atLeast"/>
        <w:jc w:val="left"/>
        <w:textAlignment w:val="auto"/>
        <w:rPr>
          <w:rFonts w:hint="eastAsia" w:ascii="宋体" w:hAnsi="宋体"/>
          <w:sz w:val="24"/>
          <w:szCs w:val="24"/>
        </w:rPr>
      </w:pPr>
      <w:r>
        <w:rPr>
          <w:rFonts w:hint="eastAsia" w:ascii="宋体" w:hAnsi="宋体"/>
          <w:sz w:val="24"/>
          <w:szCs w:val="24"/>
        </w:rPr>
        <w:t>法人授权委托书（报价签字非法定代表人签署</w:t>
      </w:r>
      <w:r>
        <w:rPr>
          <w:rFonts w:hint="eastAsia" w:ascii="宋体" w:hAnsi="宋体"/>
          <w:sz w:val="24"/>
          <w:szCs w:val="24"/>
          <w:lang w:val="en-US" w:eastAsia="zh-CN"/>
        </w:rPr>
        <w:t>时</w:t>
      </w:r>
      <w:r>
        <w:rPr>
          <w:rFonts w:hint="eastAsia" w:ascii="宋体" w:hAnsi="宋体"/>
          <w:sz w:val="24"/>
          <w:szCs w:val="24"/>
        </w:rPr>
        <w:t>需出具）；</w:t>
      </w:r>
    </w:p>
    <w:p>
      <w:pPr>
        <w:numPr>
          <w:ilvl w:val="0"/>
          <w:numId w:val="11"/>
        </w:numPr>
        <w:snapToGrid w:val="0"/>
        <w:spacing w:line="400" w:lineRule="atLeast"/>
        <w:jc w:val="left"/>
        <w:textAlignment w:val="auto"/>
        <w:rPr>
          <w:rFonts w:hint="eastAsia" w:ascii="宋体" w:hAnsi="宋体"/>
          <w:sz w:val="24"/>
          <w:szCs w:val="24"/>
        </w:rPr>
      </w:pPr>
      <w:r>
        <w:rPr>
          <w:rFonts w:hint="eastAsia" w:ascii="宋体" w:hAnsi="宋体"/>
          <w:sz w:val="24"/>
          <w:szCs w:val="24"/>
        </w:rPr>
        <w:t>关于资格的声明函；</w:t>
      </w:r>
    </w:p>
    <w:p>
      <w:pPr>
        <w:numPr>
          <w:ilvl w:val="0"/>
          <w:numId w:val="11"/>
        </w:numPr>
        <w:snapToGrid w:val="0"/>
        <w:spacing w:line="400" w:lineRule="atLeast"/>
        <w:jc w:val="left"/>
        <w:textAlignment w:val="auto"/>
        <w:rPr>
          <w:rFonts w:hint="eastAsia" w:ascii="宋体" w:hAnsi="宋体"/>
          <w:sz w:val="24"/>
          <w:szCs w:val="24"/>
        </w:rPr>
      </w:pPr>
      <w:r>
        <w:rPr>
          <w:rFonts w:hint="eastAsia" w:ascii="宋体" w:hAnsi="宋体"/>
          <w:sz w:val="24"/>
          <w:szCs w:val="24"/>
        </w:rPr>
        <w:t>报价方廉洁承诺书；</w:t>
      </w:r>
    </w:p>
    <w:p>
      <w:pPr>
        <w:numPr>
          <w:ilvl w:val="0"/>
          <w:numId w:val="11"/>
        </w:numPr>
        <w:snapToGrid w:val="0"/>
        <w:spacing w:line="400" w:lineRule="atLeast"/>
        <w:jc w:val="left"/>
        <w:textAlignment w:val="auto"/>
        <w:rPr>
          <w:rFonts w:hint="eastAsia" w:ascii="宋体" w:hAnsi="宋体"/>
          <w:sz w:val="24"/>
          <w:szCs w:val="24"/>
        </w:rPr>
      </w:pPr>
      <w:r>
        <w:rPr>
          <w:rFonts w:hint="eastAsia" w:ascii="宋体" w:hAnsi="宋体"/>
          <w:sz w:val="24"/>
          <w:szCs w:val="24"/>
        </w:rPr>
        <w:t>企业能有效识别二维码且加盖报价单位公章的营业执照复印件；</w:t>
      </w:r>
    </w:p>
    <w:p>
      <w:pPr>
        <w:numPr>
          <w:ilvl w:val="0"/>
          <w:numId w:val="11"/>
        </w:numPr>
        <w:snapToGrid w:val="0"/>
        <w:spacing w:line="400" w:lineRule="atLeast"/>
        <w:jc w:val="left"/>
        <w:textAlignment w:val="auto"/>
        <w:rPr>
          <w:rFonts w:hint="eastAsia" w:ascii="宋体" w:hAnsi="宋体"/>
          <w:bCs/>
          <w:color w:val="000000"/>
          <w:sz w:val="24"/>
          <w:szCs w:val="24"/>
        </w:rPr>
      </w:pPr>
      <w:r>
        <w:rPr>
          <w:rFonts w:hint="eastAsia" w:ascii="宋体" w:hAnsi="宋体"/>
          <w:sz w:val="24"/>
          <w:szCs w:val="24"/>
        </w:rPr>
        <w:t>相关业绩证明，提供加盖报价单位公章的合同复印件；</w:t>
      </w:r>
    </w:p>
    <w:p>
      <w:pPr>
        <w:numPr>
          <w:ilvl w:val="0"/>
          <w:numId w:val="11"/>
        </w:numPr>
        <w:snapToGrid w:val="0"/>
        <w:spacing w:line="400" w:lineRule="atLeast"/>
        <w:jc w:val="left"/>
        <w:textAlignment w:val="auto"/>
        <w:rPr>
          <w:rFonts w:hint="eastAsia" w:ascii="宋体" w:hAnsi="宋体"/>
          <w:bCs/>
          <w:color w:val="000000"/>
          <w:sz w:val="24"/>
          <w:szCs w:val="24"/>
        </w:rPr>
      </w:pPr>
      <w:r>
        <w:rPr>
          <w:rFonts w:hint="eastAsia" w:ascii="宋体" w:hAnsi="宋体"/>
          <w:bCs/>
          <w:color w:val="000000"/>
          <w:sz w:val="24"/>
          <w:szCs w:val="24"/>
        </w:rPr>
        <w:t>报价方认为需要提供的其它资料。</w:t>
      </w:r>
    </w:p>
    <w:bookmarkEnd w:id="43"/>
    <w:bookmarkEnd w:id="44"/>
    <w:bookmarkEnd w:id="45"/>
    <w:bookmarkEnd w:id="46"/>
    <w:bookmarkEnd w:id="47"/>
    <w:bookmarkEnd w:id="48"/>
    <w:bookmarkEnd w:id="49"/>
    <w:bookmarkEnd w:id="50"/>
    <w:bookmarkEnd w:id="51"/>
    <w:bookmarkEnd w:id="52"/>
    <w:bookmarkEnd w:id="53"/>
    <w:p>
      <w:pPr>
        <w:pStyle w:val="4"/>
        <w:keepNext w:val="0"/>
        <w:keepLines w:val="0"/>
        <w:numPr>
          <w:ilvl w:val="0"/>
          <w:numId w:val="8"/>
        </w:numPr>
        <w:kinsoku w:val="0"/>
        <w:overflowPunct w:val="0"/>
        <w:autoSpaceDE w:val="0"/>
        <w:autoSpaceDN w:val="0"/>
        <w:spacing w:before="0" w:after="0" w:line="400" w:lineRule="atLeast"/>
        <w:ind w:left="0" w:leftChars="0" w:right="210" w:rightChars="100" w:firstLine="0" w:firstLineChars="0"/>
        <w:jc w:val="both"/>
        <w:textAlignment w:val="auto"/>
        <w:rPr>
          <w:rFonts w:hint="eastAsia" w:ascii="宋体" w:hAnsi="宋体" w:eastAsia="宋体"/>
          <w:bCs/>
          <w:sz w:val="24"/>
          <w:szCs w:val="24"/>
          <w:lang w:val="en-US" w:eastAsia="zh-CN"/>
        </w:rPr>
      </w:pPr>
      <w:r>
        <w:rPr>
          <w:rFonts w:hint="eastAsia" w:ascii="宋体" w:hAnsi="宋体" w:eastAsia="宋体"/>
          <w:bCs/>
          <w:sz w:val="24"/>
          <w:szCs w:val="24"/>
          <w:lang w:val="en-US" w:eastAsia="zh-CN"/>
        </w:rPr>
        <w:t>报价文件的递交</w:t>
      </w:r>
    </w:p>
    <w:p>
      <w:pPr>
        <w:numPr>
          <w:ilvl w:val="0"/>
          <w:numId w:val="12"/>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报价文件的递交。报价方必须按报价邀请书的要求在规定的时间内将报价文件送达规定的地点。</w:t>
      </w:r>
    </w:p>
    <w:p>
      <w:pPr>
        <w:numPr>
          <w:ilvl w:val="0"/>
          <w:numId w:val="12"/>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迟到的报价文件。采购方对于迟到的报价文件有权拒绝接收。</w:t>
      </w:r>
    </w:p>
    <w:p>
      <w:pPr>
        <w:numPr>
          <w:ilvl w:val="0"/>
          <w:numId w:val="12"/>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报价文件的修改与撤回。报价方在递交报价文件以后，在规定的报价截止时间之前，可以书面形式向采购方递交请求修改其报价文件的通知。但在报价截止以后，不能修改报价文件。修改后的报价文件应按要求密封等，并在报价截止时间前送达采购方。</w:t>
      </w:r>
    </w:p>
    <w:p>
      <w:pPr>
        <w:pStyle w:val="4"/>
        <w:keepNext w:val="0"/>
        <w:keepLines w:val="0"/>
        <w:numPr>
          <w:ilvl w:val="0"/>
          <w:numId w:val="8"/>
        </w:numPr>
        <w:kinsoku w:val="0"/>
        <w:overflowPunct w:val="0"/>
        <w:autoSpaceDE w:val="0"/>
        <w:autoSpaceDN w:val="0"/>
        <w:spacing w:before="0" w:after="0" w:line="400" w:lineRule="atLeast"/>
        <w:ind w:left="0" w:leftChars="0" w:right="210" w:rightChars="100" w:firstLine="0" w:firstLineChars="0"/>
        <w:jc w:val="both"/>
        <w:textAlignment w:val="auto"/>
        <w:rPr>
          <w:rFonts w:hint="eastAsia" w:ascii="宋体" w:hAnsi="宋体" w:eastAsia="宋体"/>
          <w:bCs/>
          <w:sz w:val="24"/>
          <w:szCs w:val="24"/>
          <w:lang w:val="en-US" w:eastAsia="zh-CN"/>
        </w:rPr>
      </w:pPr>
      <w:bookmarkStart w:id="54" w:name="_Toc7288_WPSOffice_Level2"/>
      <w:bookmarkStart w:id="55" w:name="_Toc229281572"/>
      <w:bookmarkStart w:id="56" w:name="_Toc33340839"/>
      <w:bookmarkStart w:id="57" w:name="_Toc22570_WPSOffice_Level2"/>
      <w:bookmarkStart w:id="58" w:name="_Toc293413481"/>
      <w:bookmarkStart w:id="59" w:name="_Toc19491_WPSOffice_Level2"/>
      <w:bookmarkStart w:id="60" w:name="_Toc14599_WPSOffice_Level2"/>
      <w:bookmarkStart w:id="61" w:name="_Toc260230613"/>
      <w:bookmarkStart w:id="62" w:name="_Toc260238417"/>
      <w:bookmarkStart w:id="63" w:name="_Toc24455234"/>
      <w:bookmarkStart w:id="64" w:name="_Toc24083814"/>
      <w:r>
        <w:rPr>
          <w:rFonts w:hint="eastAsia" w:ascii="宋体" w:hAnsi="宋体" w:eastAsia="宋体"/>
          <w:bCs/>
          <w:sz w:val="24"/>
          <w:szCs w:val="24"/>
          <w:lang w:val="en-US" w:eastAsia="zh-CN"/>
        </w:rPr>
        <w:t>评</w:t>
      </w:r>
      <w:bookmarkEnd w:id="54"/>
      <w:bookmarkEnd w:id="55"/>
      <w:bookmarkEnd w:id="56"/>
      <w:bookmarkEnd w:id="57"/>
      <w:bookmarkEnd w:id="58"/>
      <w:bookmarkEnd w:id="59"/>
      <w:bookmarkEnd w:id="60"/>
      <w:bookmarkEnd w:id="61"/>
      <w:bookmarkEnd w:id="62"/>
      <w:bookmarkEnd w:id="63"/>
      <w:bookmarkEnd w:id="64"/>
      <w:r>
        <w:rPr>
          <w:rFonts w:hint="eastAsia" w:ascii="宋体" w:hAnsi="宋体" w:eastAsia="宋体"/>
          <w:bCs/>
          <w:sz w:val="24"/>
          <w:szCs w:val="24"/>
          <w:lang w:val="en-US" w:eastAsia="zh-CN"/>
        </w:rPr>
        <w:t>审</w:t>
      </w:r>
    </w:p>
    <w:p>
      <w:pPr>
        <w:numPr>
          <w:ilvl w:val="0"/>
          <w:numId w:val="13"/>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采购方将按照采购公告中规定的时间，在厦门市海沧区阳光西路288号厦门海发环保能源股份有限公司评标室</w:t>
      </w:r>
      <w:r>
        <w:rPr>
          <w:rFonts w:hint="eastAsia" w:ascii="宋体" w:hAnsi="宋体"/>
          <w:sz w:val="24"/>
          <w:szCs w:val="24"/>
          <w:lang w:val="en-US" w:eastAsia="zh-CN"/>
        </w:rPr>
        <w:t>评审</w:t>
      </w:r>
      <w:r>
        <w:rPr>
          <w:rFonts w:hint="eastAsia" w:ascii="宋体" w:hAnsi="宋体"/>
          <w:sz w:val="24"/>
          <w:szCs w:val="24"/>
        </w:rPr>
        <w:t>。</w:t>
      </w:r>
    </w:p>
    <w:p>
      <w:pPr>
        <w:numPr>
          <w:ilvl w:val="0"/>
          <w:numId w:val="13"/>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报价方代表可监督检查报价文件的密封情况。</w:t>
      </w:r>
    </w:p>
    <w:p>
      <w:pPr>
        <w:numPr>
          <w:ilvl w:val="0"/>
          <w:numId w:val="13"/>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报价文件有下列情况之一者将被视为废标。</w:t>
      </w:r>
    </w:p>
    <w:p>
      <w:pPr>
        <w:numPr>
          <w:ilvl w:val="0"/>
          <w:numId w:val="14"/>
        </w:numPr>
        <w:kinsoku w:val="0"/>
        <w:overflowPunct w:val="0"/>
        <w:adjustRightInd/>
        <w:spacing w:line="400" w:lineRule="atLeast"/>
        <w:ind w:left="0" w:leftChars="0" w:firstLine="0" w:firstLineChars="0"/>
        <w:jc w:val="left"/>
        <w:textAlignment w:val="auto"/>
        <w:rPr>
          <w:rFonts w:hint="eastAsia" w:ascii="宋体" w:hAnsi="宋体"/>
          <w:sz w:val="24"/>
          <w:szCs w:val="24"/>
        </w:rPr>
      </w:pPr>
      <w:r>
        <w:rPr>
          <w:rFonts w:hint="eastAsia" w:ascii="宋体" w:hAnsi="宋体"/>
          <w:sz w:val="24"/>
          <w:szCs w:val="24"/>
        </w:rPr>
        <w:t>报价文件未标识和密封；</w:t>
      </w:r>
    </w:p>
    <w:p>
      <w:pPr>
        <w:numPr>
          <w:ilvl w:val="0"/>
          <w:numId w:val="14"/>
        </w:numPr>
        <w:kinsoku w:val="0"/>
        <w:overflowPunct w:val="0"/>
        <w:adjustRightInd/>
        <w:spacing w:line="400" w:lineRule="atLeast"/>
        <w:ind w:left="0" w:leftChars="0" w:firstLine="0" w:firstLineChars="0"/>
        <w:jc w:val="left"/>
        <w:textAlignment w:val="auto"/>
        <w:rPr>
          <w:rFonts w:hint="eastAsia" w:ascii="宋体" w:hAnsi="宋体"/>
          <w:sz w:val="24"/>
          <w:szCs w:val="24"/>
        </w:rPr>
      </w:pPr>
      <w:r>
        <w:rPr>
          <w:rFonts w:hint="eastAsia" w:ascii="宋体" w:hAnsi="宋体"/>
          <w:sz w:val="24"/>
          <w:szCs w:val="24"/>
        </w:rPr>
        <w:t>报价文件密封处未加盖报价方公章；</w:t>
      </w:r>
    </w:p>
    <w:p>
      <w:pPr>
        <w:numPr>
          <w:ilvl w:val="0"/>
          <w:numId w:val="14"/>
        </w:numPr>
        <w:kinsoku w:val="0"/>
        <w:overflowPunct w:val="0"/>
        <w:adjustRightInd/>
        <w:spacing w:line="400" w:lineRule="atLeast"/>
        <w:ind w:left="0" w:leftChars="0" w:firstLine="0" w:firstLineChars="0"/>
        <w:jc w:val="left"/>
        <w:textAlignment w:val="auto"/>
        <w:rPr>
          <w:rFonts w:hint="eastAsia" w:ascii="宋体" w:hAnsi="宋体"/>
          <w:sz w:val="24"/>
          <w:szCs w:val="24"/>
        </w:rPr>
      </w:pPr>
      <w:r>
        <w:rPr>
          <w:rFonts w:hint="eastAsia" w:ascii="宋体" w:hAnsi="宋体"/>
          <w:sz w:val="24"/>
          <w:szCs w:val="24"/>
        </w:rPr>
        <w:t>报价截止时间以后送达的报价文件。</w:t>
      </w:r>
    </w:p>
    <w:p>
      <w:pPr>
        <w:numPr>
          <w:ilvl w:val="0"/>
          <w:numId w:val="13"/>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lang w:val="en-US" w:eastAsia="zh-CN"/>
        </w:rPr>
        <w:t>报价方</w:t>
      </w:r>
      <w:r>
        <w:rPr>
          <w:rFonts w:hint="eastAsia" w:ascii="宋体" w:hAnsi="宋体"/>
          <w:sz w:val="24"/>
          <w:szCs w:val="24"/>
        </w:rPr>
        <w:t>存在下列情形之一，被认定为串通投标行为</w:t>
      </w:r>
      <w:r>
        <w:rPr>
          <w:rFonts w:hint="eastAsia" w:ascii="宋体" w:hAnsi="宋体"/>
          <w:sz w:val="24"/>
          <w:szCs w:val="24"/>
          <w:lang w:val="en-US" w:eastAsia="zh-CN"/>
        </w:rPr>
        <w:t>的</w:t>
      </w:r>
      <w:r>
        <w:rPr>
          <w:rFonts w:hint="eastAsia" w:ascii="宋体" w:hAnsi="宋体"/>
          <w:sz w:val="24"/>
          <w:szCs w:val="24"/>
        </w:rPr>
        <w:t>：</w:t>
      </w:r>
    </w:p>
    <w:p>
      <w:pPr>
        <w:numPr>
          <w:ilvl w:val="0"/>
          <w:numId w:val="15"/>
        </w:numPr>
        <w:kinsoku w:val="0"/>
        <w:overflowPunct w:val="0"/>
        <w:adjustRightInd/>
        <w:spacing w:line="400" w:lineRule="atLeast"/>
        <w:ind w:left="0" w:leftChars="0" w:firstLine="0" w:firstLineChars="0"/>
        <w:jc w:val="left"/>
        <w:textAlignment w:val="auto"/>
        <w:rPr>
          <w:rFonts w:hint="eastAsia" w:ascii="宋体" w:hAnsi="宋体"/>
          <w:sz w:val="24"/>
          <w:szCs w:val="24"/>
        </w:rPr>
      </w:pPr>
      <w:r>
        <w:rPr>
          <w:rFonts w:hint="eastAsia" w:ascii="宋体" w:hAnsi="宋体"/>
          <w:sz w:val="24"/>
          <w:szCs w:val="24"/>
        </w:rPr>
        <w:t>不同</w:t>
      </w:r>
      <w:r>
        <w:rPr>
          <w:rFonts w:hint="eastAsia" w:ascii="宋体" w:hAnsi="宋体"/>
          <w:sz w:val="24"/>
          <w:szCs w:val="24"/>
          <w:lang w:val="en-US" w:eastAsia="zh-CN"/>
        </w:rPr>
        <w:t>报价人</w:t>
      </w:r>
      <w:r>
        <w:rPr>
          <w:rFonts w:hint="eastAsia" w:ascii="宋体" w:hAnsi="宋体"/>
          <w:sz w:val="24"/>
          <w:szCs w:val="24"/>
        </w:rPr>
        <w:t>的</w:t>
      </w:r>
      <w:r>
        <w:rPr>
          <w:rFonts w:hint="eastAsia" w:ascii="宋体" w:hAnsi="宋体"/>
          <w:sz w:val="24"/>
          <w:szCs w:val="24"/>
          <w:lang w:val="en-US" w:eastAsia="zh-CN"/>
        </w:rPr>
        <w:t>报价</w:t>
      </w:r>
      <w:r>
        <w:rPr>
          <w:rFonts w:hint="eastAsia" w:ascii="宋体" w:hAnsi="宋体"/>
          <w:sz w:val="24"/>
          <w:szCs w:val="24"/>
        </w:rPr>
        <w:t>文件错、漏之处一致或雷同，且不能合理解释的；</w:t>
      </w:r>
    </w:p>
    <w:p>
      <w:pPr>
        <w:numPr>
          <w:ilvl w:val="0"/>
          <w:numId w:val="15"/>
        </w:numPr>
        <w:kinsoku w:val="0"/>
        <w:overflowPunct w:val="0"/>
        <w:adjustRightInd/>
        <w:spacing w:line="400" w:lineRule="atLeast"/>
        <w:ind w:left="0" w:leftChars="0" w:firstLine="0" w:firstLineChars="0"/>
        <w:jc w:val="left"/>
        <w:textAlignment w:val="auto"/>
        <w:rPr>
          <w:rFonts w:hint="eastAsia" w:ascii="宋体" w:hAnsi="宋体"/>
          <w:sz w:val="24"/>
          <w:szCs w:val="24"/>
        </w:rPr>
      </w:pPr>
      <w:r>
        <w:rPr>
          <w:rFonts w:hint="eastAsia" w:ascii="宋体" w:hAnsi="宋体"/>
          <w:sz w:val="24"/>
          <w:szCs w:val="24"/>
        </w:rPr>
        <w:t>不同的</w:t>
      </w:r>
      <w:r>
        <w:rPr>
          <w:rFonts w:hint="eastAsia" w:ascii="宋体" w:hAnsi="宋体"/>
          <w:sz w:val="24"/>
          <w:szCs w:val="24"/>
          <w:lang w:val="en-US" w:eastAsia="zh-CN"/>
        </w:rPr>
        <w:t>报价</w:t>
      </w:r>
      <w:r>
        <w:rPr>
          <w:rFonts w:hint="eastAsia" w:ascii="宋体" w:hAnsi="宋体"/>
          <w:sz w:val="24"/>
          <w:szCs w:val="24"/>
        </w:rPr>
        <w:t>人的法定代表人、委托代理人等由同一个单位缴纳社会保险的；</w:t>
      </w:r>
    </w:p>
    <w:p>
      <w:pPr>
        <w:numPr>
          <w:ilvl w:val="0"/>
          <w:numId w:val="15"/>
        </w:numPr>
        <w:kinsoku w:val="0"/>
        <w:overflowPunct w:val="0"/>
        <w:adjustRightInd/>
        <w:spacing w:line="400" w:lineRule="atLeast"/>
        <w:ind w:left="0" w:leftChars="0" w:firstLine="0" w:firstLineChars="0"/>
        <w:jc w:val="left"/>
        <w:textAlignment w:val="auto"/>
        <w:rPr>
          <w:rFonts w:hint="eastAsia" w:ascii="宋体" w:hAnsi="宋体"/>
          <w:sz w:val="24"/>
          <w:szCs w:val="24"/>
        </w:rPr>
      </w:pPr>
      <w:r>
        <w:rPr>
          <w:rFonts w:hint="eastAsia" w:ascii="宋体" w:hAnsi="宋体"/>
          <w:sz w:val="24"/>
          <w:szCs w:val="24"/>
        </w:rPr>
        <w:t>由同一人或分别由几个有利害关系的人携带两个以上（含两个）</w:t>
      </w:r>
      <w:r>
        <w:rPr>
          <w:rFonts w:hint="eastAsia" w:ascii="宋体" w:hAnsi="宋体"/>
          <w:sz w:val="24"/>
          <w:szCs w:val="24"/>
          <w:lang w:val="en-US" w:eastAsia="zh-CN"/>
        </w:rPr>
        <w:t>报价</w:t>
      </w:r>
      <w:r>
        <w:rPr>
          <w:rFonts w:hint="eastAsia" w:ascii="宋体" w:hAnsi="宋体"/>
          <w:sz w:val="24"/>
          <w:szCs w:val="24"/>
        </w:rPr>
        <w:t>人的企业资料参与资格审查、</w:t>
      </w:r>
      <w:r>
        <w:rPr>
          <w:rFonts w:hint="eastAsia" w:ascii="宋体" w:hAnsi="宋体"/>
          <w:sz w:val="24"/>
          <w:szCs w:val="24"/>
          <w:lang w:val="en-US" w:eastAsia="zh-CN"/>
        </w:rPr>
        <w:t>报价</w:t>
      </w:r>
      <w:r>
        <w:rPr>
          <w:rFonts w:hint="eastAsia" w:ascii="宋体" w:hAnsi="宋体"/>
          <w:sz w:val="24"/>
          <w:szCs w:val="24"/>
        </w:rPr>
        <w:t>，或代表两个以上（含两个）</w:t>
      </w:r>
      <w:r>
        <w:rPr>
          <w:rFonts w:hint="eastAsia" w:ascii="宋体" w:hAnsi="宋体"/>
          <w:sz w:val="24"/>
          <w:szCs w:val="24"/>
          <w:lang w:val="en-US" w:eastAsia="zh-CN"/>
        </w:rPr>
        <w:t>报价</w:t>
      </w:r>
      <w:r>
        <w:rPr>
          <w:rFonts w:hint="eastAsia" w:ascii="宋体" w:hAnsi="宋体"/>
          <w:sz w:val="24"/>
          <w:szCs w:val="24"/>
        </w:rPr>
        <w:t>人参加答疑会、交纳或退还投标保证金、开标的；</w:t>
      </w:r>
    </w:p>
    <w:p>
      <w:pPr>
        <w:numPr>
          <w:ilvl w:val="0"/>
          <w:numId w:val="15"/>
        </w:numPr>
        <w:kinsoku w:val="0"/>
        <w:overflowPunct w:val="0"/>
        <w:adjustRightInd/>
        <w:spacing w:line="400" w:lineRule="atLeast"/>
        <w:ind w:left="0" w:leftChars="0" w:firstLine="0" w:firstLineChars="0"/>
        <w:jc w:val="left"/>
        <w:textAlignment w:val="auto"/>
        <w:rPr>
          <w:rFonts w:hint="eastAsia" w:ascii="宋体" w:hAnsi="宋体"/>
          <w:sz w:val="24"/>
          <w:szCs w:val="24"/>
        </w:rPr>
      </w:pPr>
      <w:r>
        <w:rPr>
          <w:rFonts w:hint="eastAsia" w:ascii="宋体" w:hAnsi="宋体"/>
          <w:sz w:val="24"/>
          <w:szCs w:val="24"/>
        </w:rPr>
        <w:t>有关法律、法规或规章规定的其他串通投标行为。</w:t>
      </w:r>
    </w:p>
    <w:p>
      <w:pPr>
        <w:numPr>
          <w:ilvl w:val="0"/>
          <w:numId w:val="13"/>
        </w:numPr>
        <w:kinsoku w:val="0"/>
        <w:overflowPunct w:val="0"/>
        <w:adjustRightInd/>
        <w:spacing w:line="400" w:lineRule="atLeast"/>
        <w:jc w:val="left"/>
        <w:textAlignment w:val="auto"/>
        <w:rPr>
          <w:rFonts w:hint="eastAsia" w:ascii="宋体" w:hAnsi="宋体"/>
          <w:sz w:val="24"/>
          <w:szCs w:val="24"/>
          <w:lang w:val="en-US" w:eastAsia="zh-CN"/>
        </w:rPr>
      </w:pPr>
      <w:bookmarkStart w:id="65" w:name="_Toc445748261"/>
      <w:bookmarkStart w:id="66" w:name="_Toc444614425"/>
      <w:bookmarkStart w:id="67" w:name="_Toc457383223"/>
      <w:bookmarkStart w:id="68" w:name="_Toc445991603"/>
      <w:bookmarkStart w:id="69" w:name="_Toc462647056"/>
      <w:bookmarkStart w:id="70" w:name="_Toc449373772"/>
      <w:bookmarkStart w:id="71" w:name="_Toc440899515"/>
      <w:bookmarkStart w:id="72" w:name="_Toc418522815"/>
      <w:bookmarkStart w:id="73" w:name="_Toc449635679"/>
      <w:bookmarkStart w:id="74" w:name="_Toc420577581"/>
      <w:bookmarkStart w:id="75" w:name="_Toc441224335"/>
      <w:bookmarkStart w:id="76" w:name="_Toc445901129"/>
      <w:bookmarkStart w:id="77" w:name="_Toc439661731"/>
      <w:bookmarkStart w:id="78" w:name="_Toc422416153"/>
      <w:bookmarkStart w:id="79" w:name="_Toc425266324"/>
      <w:bookmarkStart w:id="80" w:name="_Toc422906617"/>
      <w:bookmarkStart w:id="81" w:name="_Toc421773672"/>
      <w:bookmarkStart w:id="82" w:name="_Toc441500070"/>
      <w:r>
        <w:rPr>
          <w:rFonts w:hint="eastAsia" w:ascii="宋体" w:hAnsi="宋体"/>
          <w:sz w:val="24"/>
          <w:szCs w:val="24"/>
          <w:lang w:val="en-US" w:eastAsia="zh-CN"/>
        </w:rPr>
        <w:t>本项目若属于首次进行询价采购的，在采购过程中出现下列情况的，本次询价采购失败。</w:t>
      </w:r>
    </w:p>
    <w:p>
      <w:pPr>
        <w:numPr>
          <w:ilvl w:val="0"/>
          <w:numId w:val="16"/>
        </w:numPr>
        <w:kinsoku w:val="0"/>
        <w:overflowPunct w:val="0"/>
        <w:adjustRightInd/>
        <w:spacing w:line="400" w:lineRule="atLeast"/>
        <w:ind w:left="0" w:leftChars="0" w:firstLine="0" w:firstLineChars="0"/>
        <w:jc w:val="left"/>
        <w:textAlignment w:val="auto"/>
        <w:rPr>
          <w:rFonts w:hint="eastAsia" w:ascii="宋体" w:hAnsi="宋体"/>
          <w:sz w:val="24"/>
          <w:szCs w:val="24"/>
          <w:lang w:val="en-US" w:eastAsia="zh-CN"/>
        </w:rPr>
      </w:pPr>
      <w:r>
        <w:rPr>
          <w:rFonts w:hint="eastAsia" w:ascii="宋体" w:hAnsi="宋体"/>
          <w:sz w:val="24"/>
          <w:szCs w:val="24"/>
          <w:lang w:val="en-US" w:eastAsia="zh-CN"/>
        </w:rPr>
        <w:t>在规定的报价截止时间前递交报价文件的供应商不足三家的；</w:t>
      </w:r>
    </w:p>
    <w:p>
      <w:pPr>
        <w:numPr>
          <w:ilvl w:val="0"/>
          <w:numId w:val="16"/>
        </w:numPr>
        <w:kinsoku w:val="0"/>
        <w:overflowPunct w:val="0"/>
        <w:adjustRightInd/>
        <w:spacing w:line="400" w:lineRule="atLeast"/>
        <w:ind w:left="0" w:leftChars="0" w:firstLine="0" w:firstLineChars="0"/>
        <w:jc w:val="left"/>
        <w:textAlignment w:val="auto"/>
        <w:rPr>
          <w:rFonts w:hint="eastAsia" w:ascii="宋体" w:hAnsi="宋体"/>
          <w:sz w:val="24"/>
          <w:szCs w:val="24"/>
          <w:lang w:val="en-US" w:eastAsia="zh-CN"/>
        </w:rPr>
      </w:pPr>
      <w:r>
        <w:rPr>
          <w:rFonts w:hint="eastAsia" w:ascii="宋体" w:hAnsi="宋体"/>
          <w:sz w:val="24"/>
          <w:szCs w:val="24"/>
          <w:lang w:val="en-US" w:eastAsia="zh-CN"/>
        </w:rPr>
        <w:t>能满足采购文件实质性要求的有效供应商不足三家的；</w:t>
      </w:r>
    </w:p>
    <w:p>
      <w:pPr>
        <w:numPr>
          <w:ilvl w:val="0"/>
          <w:numId w:val="16"/>
        </w:numPr>
        <w:kinsoku w:val="0"/>
        <w:overflowPunct w:val="0"/>
        <w:adjustRightInd/>
        <w:spacing w:line="400" w:lineRule="atLeast"/>
        <w:ind w:left="0" w:leftChars="0" w:firstLine="0" w:firstLineChars="0"/>
        <w:jc w:val="left"/>
        <w:textAlignment w:val="auto"/>
        <w:rPr>
          <w:rFonts w:hint="eastAsia" w:ascii="宋体" w:hAnsi="宋体"/>
          <w:sz w:val="24"/>
          <w:szCs w:val="24"/>
          <w:lang w:val="en-US" w:eastAsia="zh-CN"/>
        </w:rPr>
      </w:pPr>
      <w:r>
        <w:rPr>
          <w:rFonts w:hint="eastAsia" w:ascii="宋体" w:hAnsi="宋体"/>
          <w:sz w:val="24"/>
          <w:szCs w:val="24"/>
          <w:lang w:val="en-US" w:eastAsia="zh-CN"/>
        </w:rPr>
        <w:t>报价未超过采购最高限价的有效供应商不足三家的。</w:t>
      </w:r>
    </w:p>
    <w:p>
      <w:pPr>
        <w:numPr>
          <w:ilvl w:val="0"/>
          <w:numId w:val="13"/>
        </w:numPr>
        <w:kinsoku w:val="0"/>
        <w:overflowPunct w:val="0"/>
        <w:adjustRightInd/>
        <w:spacing w:line="400" w:lineRule="atLeast"/>
        <w:jc w:val="left"/>
        <w:textAlignment w:val="auto"/>
        <w:rPr>
          <w:rFonts w:hint="eastAsia" w:ascii="宋体" w:hAnsi="宋体"/>
          <w:sz w:val="24"/>
          <w:szCs w:val="24"/>
          <w:lang w:val="en-US" w:eastAsia="zh-CN"/>
        </w:rPr>
      </w:pPr>
      <w:r>
        <w:rPr>
          <w:rFonts w:hint="eastAsia" w:ascii="宋体" w:hAnsi="宋体"/>
          <w:sz w:val="24"/>
          <w:szCs w:val="24"/>
          <w:lang w:val="en-US" w:eastAsia="zh-CN"/>
        </w:rPr>
        <w:t>本项目若属于首次询价采购失败后进行的第二次询价采购活动的，根据询价文件的规定，若资格性与符合性检查合格的供应商只有两家的，评审谈判小组可以对两家供应商报价文件进行评审推荐成交候选供应商；只有1家响应的，评审谈判小组按照符合采购需求、报价合理的原则推荐成交供应商。</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pPr>
        <w:numPr>
          <w:ilvl w:val="0"/>
          <w:numId w:val="13"/>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评审原则</w:t>
      </w:r>
    </w:p>
    <w:p>
      <w:pPr>
        <w:pStyle w:val="2"/>
        <w:rPr>
          <w:rFonts w:hint="eastAsia"/>
        </w:rPr>
      </w:pPr>
    </w:p>
    <w:p>
      <w:pPr>
        <w:numPr>
          <w:ilvl w:val="0"/>
          <w:numId w:val="17"/>
        </w:numPr>
        <w:kinsoku w:val="0"/>
        <w:overflowPunct w:val="0"/>
        <w:adjustRightInd/>
        <w:spacing w:line="400" w:lineRule="atLeast"/>
        <w:ind w:left="0" w:leftChars="0" w:firstLine="0" w:firstLineChars="0"/>
        <w:jc w:val="left"/>
        <w:textAlignment w:val="auto"/>
        <w:rPr>
          <w:rFonts w:hint="eastAsia" w:ascii="宋体" w:hAnsi="宋体"/>
          <w:sz w:val="24"/>
          <w:szCs w:val="24"/>
        </w:rPr>
      </w:pPr>
      <w:r>
        <w:rPr>
          <w:rFonts w:hint="eastAsia" w:ascii="宋体" w:hAnsi="宋体"/>
          <w:sz w:val="24"/>
          <w:szCs w:val="24"/>
        </w:rPr>
        <w:t>评审评审谈判小组对具备实质性的报价文件进行评估和比较。评审评审谈判小组成员由采购方相关人员组成，评审评审谈判小组将严格按照谈判文件的要求和条件对所有报价文件进行评审。</w:t>
      </w:r>
    </w:p>
    <w:p>
      <w:pPr>
        <w:numPr>
          <w:ilvl w:val="0"/>
          <w:numId w:val="17"/>
        </w:numPr>
        <w:kinsoku w:val="0"/>
        <w:overflowPunct w:val="0"/>
        <w:adjustRightInd/>
        <w:spacing w:line="400" w:lineRule="atLeast"/>
        <w:ind w:left="0" w:leftChars="0" w:firstLine="0" w:firstLineChars="0"/>
        <w:jc w:val="left"/>
        <w:textAlignment w:val="auto"/>
        <w:rPr>
          <w:rFonts w:hint="eastAsia" w:ascii="宋体" w:hAnsi="宋体"/>
          <w:sz w:val="24"/>
          <w:szCs w:val="24"/>
        </w:rPr>
      </w:pPr>
      <w:r>
        <w:rPr>
          <w:rFonts w:hint="eastAsia" w:ascii="宋体" w:hAnsi="宋体"/>
          <w:sz w:val="24"/>
          <w:szCs w:val="24"/>
        </w:rPr>
        <w:t>符合性审查，如发现下列情况之一，将按废标处理。</w:t>
      </w:r>
    </w:p>
    <w:p>
      <w:pPr>
        <w:numPr>
          <w:ilvl w:val="0"/>
          <w:numId w:val="18"/>
        </w:numPr>
        <w:kinsoku w:val="0"/>
        <w:overflowPunct w:val="0"/>
        <w:adjustRightInd/>
        <w:spacing w:line="400" w:lineRule="atLeast"/>
        <w:ind w:left="0" w:leftChars="0" w:firstLine="0" w:firstLineChars="0"/>
        <w:jc w:val="left"/>
        <w:textAlignment w:val="auto"/>
        <w:rPr>
          <w:rFonts w:hint="eastAsia" w:ascii="宋体" w:hAnsi="宋体"/>
          <w:sz w:val="24"/>
          <w:szCs w:val="24"/>
        </w:rPr>
      </w:pPr>
      <w:r>
        <w:rPr>
          <w:rFonts w:hint="eastAsia" w:ascii="宋体" w:hAnsi="宋体"/>
          <w:sz w:val="24"/>
          <w:szCs w:val="24"/>
        </w:rPr>
        <w:t>资格证明文件不全的；</w:t>
      </w:r>
    </w:p>
    <w:p>
      <w:pPr>
        <w:numPr>
          <w:ilvl w:val="0"/>
          <w:numId w:val="18"/>
        </w:numPr>
        <w:kinsoku w:val="0"/>
        <w:overflowPunct w:val="0"/>
        <w:adjustRightInd/>
        <w:spacing w:line="400" w:lineRule="atLeast"/>
        <w:ind w:left="0" w:leftChars="0" w:firstLine="0" w:firstLineChars="0"/>
        <w:jc w:val="left"/>
        <w:textAlignment w:val="auto"/>
        <w:rPr>
          <w:rFonts w:hint="eastAsia" w:ascii="宋体" w:hAnsi="宋体"/>
          <w:sz w:val="24"/>
          <w:szCs w:val="24"/>
        </w:rPr>
      </w:pPr>
      <w:r>
        <w:rPr>
          <w:rFonts w:hint="eastAsia" w:ascii="宋体" w:hAnsi="宋体"/>
          <w:sz w:val="24"/>
          <w:szCs w:val="24"/>
        </w:rPr>
        <w:t>报价文件未按谈判文件规定盖报价单位公章及签字；</w:t>
      </w:r>
    </w:p>
    <w:p>
      <w:pPr>
        <w:numPr>
          <w:ilvl w:val="0"/>
          <w:numId w:val="18"/>
        </w:numPr>
        <w:kinsoku w:val="0"/>
        <w:overflowPunct w:val="0"/>
        <w:adjustRightInd/>
        <w:spacing w:line="400" w:lineRule="atLeast"/>
        <w:ind w:left="0" w:leftChars="0" w:firstLine="0" w:firstLineChars="0"/>
        <w:jc w:val="left"/>
        <w:textAlignment w:val="auto"/>
        <w:rPr>
          <w:rFonts w:hint="eastAsia" w:ascii="宋体" w:hAnsi="宋体"/>
          <w:sz w:val="24"/>
          <w:szCs w:val="24"/>
        </w:rPr>
      </w:pPr>
      <w:r>
        <w:rPr>
          <w:rFonts w:hint="eastAsia" w:ascii="宋体" w:hAnsi="宋体"/>
          <w:sz w:val="24"/>
          <w:szCs w:val="24"/>
        </w:rPr>
        <w:t>报价文件附有采购方不能接受的条件的。</w:t>
      </w:r>
      <w:bookmarkStart w:id="83" w:name="_Toc260238418"/>
      <w:bookmarkStart w:id="84" w:name="_Toc260230614"/>
      <w:bookmarkStart w:id="85" w:name="_Toc33340840"/>
      <w:bookmarkStart w:id="86" w:name="_Toc293413482"/>
      <w:bookmarkStart w:id="87" w:name="_Toc26749_WPSOffice_Level2"/>
      <w:bookmarkStart w:id="88" w:name="_Toc24083815"/>
      <w:bookmarkStart w:id="89" w:name="_Toc229281573"/>
      <w:bookmarkStart w:id="90" w:name="_Toc18016_WPSOffice_Level2"/>
      <w:bookmarkStart w:id="91" w:name="_Toc24711813"/>
      <w:bookmarkStart w:id="92" w:name="_Toc24455235"/>
      <w:bookmarkStart w:id="93" w:name="_Toc7598_WPSOffice_Level2"/>
      <w:bookmarkStart w:id="94" w:name="_Toc24456368"/>
      <w:bookmarkStart w:id="95" w:name="_Toc18499_WPSOffice_Level2"/>
    </w:p>
    <w:p>
      <w:pPr>
        <w:numPr>
          <w:ilvl w:val="0"/>
          <w:numId w:val="17"/>
        </w:numPr>
        <w:kinsoku w:val="0"/>
        <w:overflowPunct w:val="0"/>
        <w:adjustRightInd/>
        <w:spacing w:line="400" w:lineRule="atLeast"/>
        <w:ind w:left="0" w:leftChars="0" w:firstLine="0" w:firstLineChars="0"/>
        <w:jc w:val="left"/>
        <w:textAlignment w:val="auto"/>
        <w:rPr>
          <w:rFonts w:hint="eastAsia" w:ascii="宋体" w:hAnsi="宋体"/>
          <w:sz w:val="24"/>
          <w:szCs w:val="24"/>
        </w:rPr>
      </w:pPr>
      <w:r>
        <w:rPr>
          <w:rFonts w:hint="eastAsia" w:ascii="宋体" w:hAnsi="宋体"/>
          <w:sz w:val="24"/>
          <w:szCs w:val="24"/>
        </w:rPr>
        <w:t>评审谈判小组</w:t>
      </w:r>
      <w:r>
        <w:rPr>
          <w:rFonts w:hint="eastAsia" w:ascii="宋体" w:hAnsi="宋体"/>
          <w:sz w:val="24"/>
          <w:szCs w:val="24"/>
          <w:lang w:val="en-US" w:eastAsia="zh-CN"/>
        </w:rPr>
        <w:t>与</w:t>
      </w:r>
      <w:r>
        <w:rPr>
          <w:rFonts w:hint="eastAsia" w:ascii="宋体" w:hAnsi="宋体"/>
          <w:sz w:val="24"/>
          <w:szCs w:val="24"/>
        </w:rPr>
        <w:t>通过资格和符合性审查的报价方进行谈判。</w:t>
      </w:r>
    </w:p>
    <w:p>
      <w:pPr>
        <w:numPr>
          <w:ilvl w:val="0"/>
          <w:numId w:val="17"/>
        </w:numPr>
        <w:kinsoku w:val="0"/>
        <w:overflowPunct w:val="0"/>
        <w:adjustRightInd/>
        <w:spacing w:line="400" w:lineRule="atLeast"/>
        <w:ind w:left="0" w:leftChars="0" w:firstLine="0" w:firstLineChars="0"/>
        <w:jc w:val="left"/>
        <w:textAlignment w:val="auto"/>
        <w:rPr>
          <w:rFonts w:hint="eastAsia" w:ascii="宋体" w:hAnsi="宋体"/>
          <w:sz w:val="24"/>
          <w:szCs w:val="24"/>
        </w:rPr>
      </w:pPr>
      <w:r>
        <w:rPr>
          <w:rFonts w:hint="eastAsia" w:ascii="宋体" w:hAnsi="宋体"/>
          <w:sz w:val="24"/>
          <w:szCs w:val="24"/>
        </w:rPr>
        <w:t>本次谈判采用经评审合格最低价成交法。通过资格审查，符合谈判采购文件要求且报价最低的原则确定成交供应商。</w:t>
      </w:r>
    </w:p>
    <w:p>
      <w:pPr>
        <w:pStyle w:val="4"/>
        <w:keepNext w:val="0"/>
        <w:keepLines w:val="0"/>
        <w:numPr>
          <w:ilvl w:val="0"/>
          <w:numId w:val="8"/>
        </w:numPr>
        <w:kinsoku w:val="0"/>
        <w:overflowPunct w:val="0"/>
        <w:autoSpaceDE w:val="0"/>
        <w:autoSpaceDN w:val="0"/>
        <w:spacing w:before="0" w:after="0" w:line="400" w:lineRule="atLeast"/>
        <w:ind w:left="0" w:leftChars="0" w:right="210" w:rightChars="100" w:firstLine="0" w:firstLineChars="0"/>
        <w:jc w:val="both"/>
        <w:textAlignment w:val="auto"/>
        <w:rPr>
          <w:rFonts w:hint="eastAsia" w:ascii="宋体" w:hAnsi="宋体" w:eastAsia="宋体"/>
          <w:bCs/>
          <w:sz w:val="24"/>
          <w:szCs w:val="24"/>
          <w:lang w:val="en-US" w:eastAsia="zh-CN"/>
        </w:rPr>
      </w:pPr>
      <w:r>
        <w:rPr>
          <w:rFonts w:hint="eastAsia" w:ascii="宋体" w:hAnsi="宋体" w:eastAsia="宋体"/>
          <w:bCs/>
          <w:sz w:val="24"/>
          <w:szCs w:val="24"/>
          <w:lang w:val="en-US" w:eastAsia="zh-CN"/>
        </w:rPr>
        <w:t>合同的授予</w:t>
      </w:r>
      <w:bookmarkEnd w:id="83"/>
      <w:bookmarkEnd w:id="84"/>
      <w:bookmarkEnd w:id="85"/>
      <w:bookmarkEnd w:id="86"/>
      <w:bookmarkEnd w:id="87"/>
      <w:bookmarkEnd w:id="88"/>
      <w:bookmarkEnd w:id="89"/>
      <w:bookmarkEnd w:id="90"/>
      <w:bookmarkEnd w:id="91"/>
      <w:bookmarkEnd w:id="92"/>
      <w:bookmarkEnd w:id="93"/>
      <w:bookmarkEnd w:id="94"/>
      <w:bookmarkEnd w:id="95"/>
    </w:p>
    <w:p>
      <w:pPr>
        <w:numPr>
          <w:ilvl w:val="0"/>
          <w:numId w:val="19"/>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合同授予的条件</w:t>
      </w:r>
    </w:p>
    <w:p>
      <w:pPr>
        <w:pStyle w:val="4"/>
        <w:keepNext w:val="0"/>
        <w:keepLines w:val="0"/>
        <w:kinsoku w:val="0"/>
        <w:overflowPunct w:val="0"/>
        <w:autoSpaceDE w:val="0"/>
        <w:autoSpaceDN w:val="0"/>
        <w:adjustRightInd/>
        <w:spacing w:before="0" w:after="0" w:line="400" w:lineRule="atLeast"/>
        <w:ind w:firstLine="520" w:firstLineChars="200"/>
        <w:jc w:val="both"/>
        <w:textAlignment w:val="auto"/>
        <w:rPr>
          <w:rFonts w:hint="eastAsia" w:ascii="宋体" w:hAnsi="宋体" w:eastAsia="宋体"/>
          <w:b w:val="0"/>
          <w:sz w:val="24"/>
          <w:szCs w:val="24"/>
        </w:rPr>
      </w:pPr>
      <w:r>
        <w:rPr>
          <w:rFonts w:hint="eastAsia" w:ascii="宋体" w:hAnsi="宋体" w:eastAsia="宋体"/>
          <w:b w:val="0"/>
          <w:sz w:val="24"/>
          <w:szCs w:val="24"/>
        </w:rPr>
        <w:t>采购方将根据评标意见，把合同授予其报价文件在实质上响应谈判文件要求的报价方，被确定的成交供应商必须具有实施本合同的能力和资源。</w:t>
      </w:r>
    </w:p>
    <w:p>
      <w:pPr>
        <w:numPr>
          <w:ilvl w:val="0"/>
          <w:numId w:val="19"/>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成交通知书</w:t>
      </w:r>
    </w:p>
    <w:p>
      <w:pPr>
        <w:pStyle w:val="4"/>
        <w:keepNext w:val="0"/>
        <w:keepLines w:val="0"/>
        <w:kinsoku w:val="0"/>
        <w:overflowPunct w:val="0"/>
        <w:autoSpaceDE w:val="0"/>
        <w:autoSpaceDN w:val="0"/>
        <w:adjustRightInd/>
        <w:spacing w:before="0" w:after="0" w:line="400" w:lineRule="atLeast"/>
        <w:ind w:firstLine="520" w:firstLineChars="200"/>
        <w:jc w:val="both"/>
        <w:textAlignment w:val="auto"/>
        <w:rPr>
          <w:rFonts w:hint="eastAsia" w:ascii="宋体" w:hAnsi="宋体" w:eastAsia="宋体"/>
          <w:b w:val="0"/>
          <w:sz w:val="24"/>
          <w:szCs w:val="24"/>
        </w:rPr>
      </w:pPr>
      <w:r>
        <w:rPr>
          <w:rFonts w:hint="eastAsia" w:ascii="宋体" w:hAnsi="宋体" w:eastAsia="宋体"/>
          <w:b w:val="0"/>
          <w:sz w:val="24"/>
          <w:szCs w:val="24"/>
        </w:rPr>
        <w:t>评标结束后，采购方根据评标结果，在报价文件有效期截止前向成交供应商发出《成交通知书》。《成交通知书》是合同文件的组成部分。</w:t>
      </w:r>
    </w:p>
    <w:p>
      <w:pPr>
        <w:numPr>
          <w:ilvl w:val="0"/>
          <w:numId w:val="19"/>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签订合同</w:t>
      </w:r>
    </w:p>
    <w:p>
      <w:pPr>
        <w:numPr>
          <w:ilvl w:val="0"/>
          <w:numId w:val="20"/>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成交供应商应在接到成交通知书后尽快与采购方签订合同，采购方和成交供应商不得另行订立背离合同实质性内容的其它协议。</w:t>
      </w:r>
    </w:p>
    <w:p>
      <w:pPr>
        <w:numPr>
          <w:ilvl w:val="0"/>
          <w:numId w:val="20"/>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成交供应商因不可抗力或者自身原因不能履行采购合同的，采购方可以与排在成交供应商之后第一位的成交候选供应商签订采购合同，以此类推。</w:t>
      </w:r>
    </w:p>
    <w:p>
      <w:pPr>
        <w:jc w:val="center"/>
        <w:rPr>
          <w:rFonts w:hint="eastAsia" w:cs="宋体"/>
          <w:bCs/>
          <w:color w:val="000000"/>
          <w:sz w:val="28"/>
          <w:szCs w:val="28"/>
        </w:rPr>
      </w:pPr>
    </w:p>
    <w:p>
      <w:pPr>
        <w:pStyle w:val="2"/>
        <w:rPr>
          <w:rFonts w:hint="eastAsia" w:cs="宋体"/>
          <w:bCs/>
          <w:color w:val="000000"/>
          <w:sz w:val="28"/>
          <w:szCs w:val="28"/>
        </w:rPr>
      </w:pPr>
    </w:p>
    <w:p>
      <w:pPr>
        <w:pStyle w:val="2"/>
        <w:rPr>
          <w:rFonts w:hint="eastAsia" w:cs="宋体"/>
          <w:bCs/>
          <w:color w:val="000000"/>
          <w:sz w:val="28"/>
          <w:szCs w:val="28"/>
        </w:rPr>
      </w:pPr>
    </w:p>
    <w:p>
      <w:pPr>
        <w:pStyle w:val="2"/>
        <w:rPr>
          <w:rFonts w:hint="eastAsia" w:cs="宋体"/>
          <w:bCs/>
          <w:color w:val="000000"/>
          <w:sz w:val="28"/>
          <w:szCs w:val="28"/>
        </w:rPr>
      </w:pPr>
    </w:p>
    <w:p>
      <w:pPr>
        <w:pStyle w:val="2"/>
        <w:rPr>
          <w:rFonts w:hint="eastAsia" w:cs="宋体"/>
          <w:bCs/>
          <w:color w:val="000000"/>
          <w:sz w:val="28"/>
          <w:szCs w:val="28"/>
        </w:rPr>
      </w:pPr>
    </w:p>
    <w:p>
      <w:pPr>
        <w:pStyle w:val="2"/>
        <w:rPr>
          <w:rFonts w:hint="eastAsia" w:cs="宋体"/>
          <w:bCs/>
          <w:color w:val="000000"/>
          <w:sz w:val="28"/>
          <w:szCs w:val="28"/>
        </w:rPr>
      </w:pPr>
    </w:p>
    <w:p>
      <w:pPr>
        <w:pStyle w:val="2"/>
        <w:rPr>
          <w:rFonts w:hint="eastAsia" w:cs="宋体"/>
          <w:bCs/>
          <w:color w:val="000000"/>
          <w:sz w:val="28"/>
          <w:szCs w:val="28"/>
        </w:rPr>
      </w:pPr>
    </w:p>
    <w:p>
      <w:pPr>
        <w:pStyle w:val="2"/>
        <w:rPr>
          <w:rFonts w:hint="eastAsia" w:cs="宋体"/>
          <w:bCs/>
          <w:color w:val="000000"/>
          <w:sz w:val="28"/>
          <w:szCs w:val="28"/>
        </w:rPr>
      </w:pPr>
    </w:p>
    <w:p>
      <w:pPr>
        <w:pStyle w:val="4"/>
        <w:keepNext w:val="0"/>
        <w:keepLines w:val="0"/>
        <w:kinsoku w:val="0"/>
        <w:overflowPunct w:val="0"/>
        <w:autoSpaceDE w:val="0"/>
        <w:autoSpaceDN w:val="0"/>
        <w:adjustRightInd/>
        <w:spacing w:before="0" w:after="0" w:line="400" w:lineRule="atLeast"/>
        <w:ind w:firstLine="522" w:firstLineChars="200"/>
        <w:jc w:val="center"/>
        <w:textAlignment w:val="auto"/>
        <w:outlineLvl w:val="0"/>
        <w:rPr>
          <w:rFonts w:hint="eastAsia" w:ascii="宋体" w:hAnsi="宋体" w:eastAsia="宋体"/>
          <w:bCs/>
          <w:sz w:val="24"/>
          <w:szCs w:val="24"/>
        </w:rPr>
      </w:pPr>
      <w:bookmarkStart w:id="96" w:name="_Toc585"/>
      <w:r>
        <w:rPr>
          <w:rFonts w:hint="eastAsia" w:ascii="宋体" w:hAnsi="宋体" w:eastAsia="宋体"/>
          <w:bCs/>
          <w:sz w:val="24"/>
          <w:szCs w:val="24"/>
        </w:rPr>
        <w:t xml:space="preserve">第三部分 </w:t>
      </w:r>
      <w:r>
        <w:rPr>
          <w:rFonts w:hint="eastAsia" w:ascii="宋体" w:hAnsi="宋体" w:eastAsia="宋体"/>
          <w:bCs/>
          <w:sz w:val="24"/>
          <w:szCs w:val="24"/>
          <w:lang w:val="en-US" w:eastAsia="zh-CN"/>
        </w:rPr>
        <w:t>技术规范书</w:t>
      </w:r>
      <w:bookmarkEnd w:id="96"/>
    </w:p>
    <w:p>
      <w:pPr>
        <w:pStyle w:val="3"/>
        <w:numPr>
          <w:ilvl w:val="0"/>
          <w:numId w:val="21"/>
        </w:numPr>
        <w:tabs>
          <w:tab w:val="left" w:pos="420"/>
        </w:tabs>
        <w:adjustRightInd w:val="0"/>
        <w:snapToGrid w:val="0"/>
        <w:spacing w:before="0" w:after="0" w:line="440" w:lineRule="exact"/>
        <w:rPr>
          <w:rFonts w:asciiTheme="minorEastAsia" w:hAnsiTheme="minorEastAsia" w:cstheme="minorEastAsia"/>
          <w:sz w:val="24"/>
          <w:szCs w:val="24"/>
        </w:rPr>
      </w:pPr>
      <w:bookmarkStart w:id="97" w:name="_Toc24304"/>
      <w:bookmarkStart w:id="98" w:name="_Toc381625543"/>
      <w:bookmarkStart w:id="99" w:name="_Toc32616"/>
      <w:bookmarkStart w:id="100" w:name="_Toc15784"/>
      <w:bookmarkStart w:id="101" w:name="_Toc22167"/>
      <w:bookmarkStart w:id="102" w:name="_Toc31575"/>
      <w:r>
        <w:rPr>
          <w:rFonts w:hint="eastAsia" w:asciiTheme="minorEastAsia" w:hAnsiTheme="minorEastAsia" w:cstheme="minorEastAsia"/>
          <w:sz w:val="24"/>
          <w:szCs w:val="24"/>
        </w:rPr>
        <w:t>总则</w:t>
      </w:r>
      <w:bookmarkEnd w:id="97"/>
      <w:bookmarkEnd w:id="98"/>
      <w:bookmarkEnd w:id="99"/>
      <w:bookmarkEnd w:id="100"/>
      <w:bookmarkEnd w:id="101"/>
      <w:bookmarkEnd w:id="102"/>
    </w:p>
    <w:p>
      <w:pPr>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1.1</w:t>
      </w:r>
      <w:r>
        <w:rPr>
          <w:rFonts w:hint="eastAsia" w:asciiTheme="minorEastAsia" w:hAnsiTheme="minorEastAsia" w:cstheme="minorEastAsia"/>
          <w:sz w:val="24"/>
          <w:szCs w:val="24"/>
        </w:rPr>
        <w:tab/>
      </w:r>
      <w:r>
        <w:rPr>
          <w:rFonts w:hint="eastAsia" w:asciiTheme="minorEastAsia" w:hAnsiTheme="minorEastAsia" w:cstheme="minorEastAsia"/>
          <w:sz w:val="24"/>
          <w:szCs w:val="24"/>
        </w:rPr>
        <w:t>本技术规范书提出了厦门海发环保能源股份有限公司</w:t>
      </w:r>
      <w:r>
        <w:rPr>
          <w:rFonts w:hint="eastAsia" w:asciiTheme="minorEastAsia" w:hAnsiTheme="minorEastAsia" w:cstheme="minorEastAsia"/>
          <w:sz w:val="24"/>
          <w:szCs w:val="24"/>
          <w:lang w:val="en-US" w:eastAsia="zh-CN"/>
        </w:rPr>
        <w:t>电动闸阀</w:t>
      </w:r>
      <w:r>
        <w:rPr>
          <w:rFonts w:hint="eastAsia" w:asciiTheme="minorEastAsia" w:hAnsiTheme="minorEastAsia" w:cstheme="minorEastAsia"/>
          <w:sz w:val="24"/>
          <w:szCs w:val="24"/>
        </w:rPr>
        <w:t>采购，包括阀门本体、电动装置及其附件的功能设计、性能、结构、制造、试验、安装和质量保证等各方面的技术要求。</w:t>
      </w:r>
    </w:p>
    <w:p>
      <w:pPr>
        <w:pStyle w:val="9"/>
        <w:adjustRightInd w:val="0"/>
        <w:snapToGrid w:val="0"/>
        <w:spacing w:after="0" w:line="440" w:lineRule="exact"/>
        <w:ind w:left="0" w:leftChars="0"/>
        <w:rPr>
          <w:rFonts w:asciiTheme="minorEastAsia" w:hAnsiTheme="minorEastAsia" w:cstheme="minorEastAsia"/>
          <w:sz w:val="24"/>
          <w:szCs w:val="24"/>
        </w:rPr>
      </w:pPr>
      <w:r>
        <w:rPr>
          <w:rFonts w:hint="eastAsia" w:asciiTheme="minorEastAsia" w:hAnsiTheme="minorEastAsia" w:cstheme="minorEastAsia"/>
          <w:sz w:val="24"/>
          <w:szCs w:val="24"/>
        </w:rPr>
        <w:t>1.2</w:t>
      </w:r>
      <w:r>
        <w:rPr>
          <w:rFonts w:hint="eastAsia" w:asciiTheme="minorEastAsia" w:hAnsiTheme="minorEastAsia" w:cstheme="minorEastAsia"/>
          <w:sz w:val="24"/>
          <w:szCs w:val="24"/>
        </w:rPr>
        <w:tab/>
      </w:r>
      <w:r>
        <w:rPr>
          <w:rFonts w:hint="eastAsia" w:asciiTheme="minorEastAsia" w:hAnsiTheme="minorEastAsia" w:cstheme="minorEastAsia"/>
          <w:sz w:val="24"/>
          <w:szCs w:val="24"/>
        </w:rPr>
        <w:t>本技术规范提出的是最低限度的技术要求，并没有对一切技术细节作出规定，也未充分引述有关标准及规范的条文。报价方应保证提供符合本技术规范和有关最新工业标准的产品。对国家有关安全、环保、电力等强制性标准，即使本规范书没有提及，报价方也必须满足要求。报价方应提供一套满足本技术规范和所列标准要求的高质量产品及其相应服务。</w:t>
      </w:r>
    </w:p>
    <w:p>
      <w:pPr>
        <w:pStyle w:val="9"/>
        <w:adjustRightInd w:val="0"/>
        <w:snapToGrid w:val="0"/>
        <w:spacing w:after="0" w:line="440" w:lineRule="exact"/>
        <w:ind w:left="0" w:leftChars="0"/>
        <w:rPr>
          <w:rFonts w:asciiTheme="minorEastAsia" w:hAnsiTheme="minorEastAsia" w:cstheme="minorEastAsia"/>
          <w:sz w:val="24"/>
          <w:szCs w:val="24"/>
        </w:rPr>
      </w:pPr>
      <w:r>
        <w:rPr>
          <w:rFonts w:hint="eastAsia" w:asciiTheme="minorEastAsia" w:hAnsiTheme="minorEastAsia" w:cstheme="minorEastAsia"/>
          <w:sz w:val="24"/>
          <w:szCs w:val="24"/>
        </w:rPr>
        <w:t>1.3本技术条件中凡标明参数数值的，是作为特别强调，其他未标明的均应执行相关GB、IEC和DL标准。</w:t>
      </w:r>
    </w:p>
    <w:p>
      <w:pPr>
        <w:pStyle w:val="5"/>
        <w:adjustRightInd w:val="0"/>
        <w:snapToGrid w:val="0"/>
        <w:spacing w:after="0" w:line="440" w:lineRule="exact"/>
        <w:rPr>
          <w:rFonts w:asciiTheme="minorEastAsia" w:hAnsiTheme="minorEastAsia" w:cstheme="minorEastAsia"/>
          <w:sz w:val="24"/>
          <w:szCs w:val="24"/>
        </w:rPr>
      </w:pPr>
      <w:r>
        <w:rPr>
          <w:rFonts w:hint="eastAsia" w:asciiTheme="minorEastAsia" w:hAnsiTheme="minorEastAsia" w:cstheme="minorEastAsia"/>
          <w:sz w:val="24"/>
          <w:szCs w:val="24"/>
        </w:rPr>
        <w:t>1.4 在签定合同之后，采购方保留对本技术规范提出补充要求和修改的权利，报价方应承诺予以配合。如提出修改，具体项目和条件由供、需双方商定。</w:t>
      </w:r>
    </w:p>
    <w:p>
      <w:pPr>
        <w:pStyle w:val="15"/>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1.5 报价方执行本技术规范所列标准。有矛盾时，按较高标准执行，并在系统设计和设备制造中所涉及的各项规程，规范和标准遵循现行最新版本的标准。</w:t>
      </w:r>
    </w:p>
    <w:p>
      <w:pPr>
        <w:pStyle w:val="5"/>
        <w:adjustRightInd w:val="0"/>
        <w:snapToGrid w:val="0"/>
        <w:spacing w:after="0" w:line="440" w:lineRule="exact"/>
        <w:rPr>
          <w:rFonts w:asciiTheme="minorEastAsia" w:hAnsiTheme="minorEastAsia" w:cstheme="minorEastAsia"/>
          <w:sz w:val="24"/>
          <w:szCs w:val="24"/>
        </w:rPr>
      </w:pPr>
      <w:r>
        <w:rPr>
          <w:rFonts w:hint="eastAsia" w:asciiTheme="minorEastAsia" w:hAnsiTheme="minorEastAsia" w:cstheme="minorEastAsia"/>
          <w:sz w:val="24"/>
          <w:szCs w:val="24"/>
        </w:rPr>
        <w:t>1.6 系统设备采用的专利涉及到的全部费用均已包含在设备报价中，报价方保证采购方不承担有关设备专利的一切责任。</w:t>
      </w:r>
    </w:p>
    <w:p>
      <w:pPr>
        <w:pStyle w:val="5"/>
        <w:adjustRightInd w:val="0"/>
        <w:snapToGrid w:val="0"/>
        <w:spacing w:after="0" w:line="440" w:lineRule="exact"/>
        <w:rPr>
          <w:rFonts w:asciiTheme="minorEastAsia" w:hAnsiTheme="minorEastAsia" w:cstheme="minorEastAsia"/>
          <w:sz w:val="24"/>
          <w:szCs w:val="24"/>
        </w:rPr>
      </w:pPr>
      <w:r>
        <w:rPr>
          <w:rFonts w:hint="eastAsia" w:asciiTheme="minorEastAsia" w:hAnsiTheme="minorEastAsia" w:cstheme="minorEastAsia"/>
          <w:sz w:val="24"/>
          <w:szCs w:val="24"/>
        </w:rPr>
        <w:t>1.7 在签订合同之后，采购方有权提出因规范标准和规程发生变化而产生的一些补充要求，具体项目由采购方、报价方双方共同商定，合同设备不因此而加价。</w:t>
      </w:r>
    </w:p>
    <w:p>
      <w:pPr>
        <w:pStyle w:val="5"/>
        <w:adjustRightInd w:val="0"/>
        <w:snapToGrid w:val="0"/>
        <w:spacing w:after="0" w:line="440" w:lineRule="exact"/>
        <w:rPr>
          <w:rFonts w:hint="eastAsia" w:asciiTheme="minorEastAsia" w:hAnsiTheme="minorEastAsia" w:cstheme="minorEastAsia"/>
          <w:sz w:val="24"/>
          <w:szCs w:val="24"/>
        </w:rPr>
      </w:pPr>
      <w:r>
        <w:rPr>
          <w:rFonts w:hint="eastAsia" w:asciiTheme="minorEastAsia" w:hAnsiTheme="minorEastAsia" w:cstheme="minorEastAsia"/>
          <w:sz w:val="24"/>
          <w:szCs w:val="24"/>
        </w:rPr>
        <w:t>1.8 本工程采用统一的电厂编码标识系统。报价方应在设计、制造、运输、安装、试运行及项目管理等各个环节使用标识编码。</w:t>
      </w:r>
    </w:p>
    <w:p>
      <w:pPr>
        <w:pStyle w:val="5"/>
        <w:adjustRightInd w:val="0"/>
        <w:snapToGrid w:val="0"/>
        <w:spacing w:after="0" w:line="440" w:lineRule="exact"/>
        <w:rPr>
          <w:rFonts w:asciiTheme="minorEastAsia" w:hAnsiTheme="minorEastAsia" w:cstheme="minorEastAsia"/>
          <w:sz w:val="24"/>
          <w:szCs w:val="24"/>
        </w:rPr>
      </w:pPr>
      <w:r>
        <w:rPr>
          <w:rFonts w:hint="eastAsia" w:asciiTheme="minorEastAsia" w:hAnsiTheme="minorEastAsia" w:cstheme="minorEastAsia"/>
          <w:sz w:val="24"/>
          <w:szCs w:val="24"/>
        </w:rPr>
        <w:t>1.9 报价方提供的文件，包括图纸、计算、说明、使用手册等，均应使用国际单位制(SI)。所有文件、图纸均应使用中文。若文件为外文，应同时附中文说明。</w:t>
      </w:r>
    </w:p>
    <w:p>
      <w:pPr>
        <w:pStyle w:val="5"/>
        <w:adjustRightInd w:val="0"/>
        <w:snapToGrid w:val="0"/>
        <w:spacing w:after="0" w:line="440" w:lineRule="exact"/>
        <w:rPr>
          <w:rFonts w:asciiTheme="minorEastAsia" w:hAnsiTheme="minorEastAsia" w:cstheme="minorEastAsia"/>
          <w:sz w:val="24"/>
          <w:szCs w:val="24"/>
        </w:rPr>
      </w:pPr>
      <w:r>
        <w:rPr>
          <w:rFonts w:hint="eastAsia" w:asciiTheme="minorEastAsia" w:hAnsiTheme="minorEastAsia" w:cstheme="minorEastAsia"/>
          <w:sz w:val="24"/>
          <w:szCs w:val="24"/>
        </w:rPr>
        <w:t>1.10 若本技术规范前后有不一致的地方，应以更有利于设备安装运行、工程质量为原则，由采购方确定。</w:t>
      </w:r>
    </w:p>
    <w:p>
      <w:pPr>
        <w:adjustRightInd w:val="0"/>
        <w:snapToGrid w:val="0"/>
        <w:spacing w:line="440" w:lineRule="exact"/>
        <w:rPr>
          <w:rFonts w:asciiTheme="minorEastAsia" w:hAnsiTheme="minorEastAsia" w:cstheme="minorEastAsia"/>
          <w:spacing w:val="5"/>
          <w:sz w:val="24"/>
          <w:szCs w:val="24"/>
        </w:rPr>
      </w:pPr>
      <w:r>
        <w:rPr>
          <w:rFonts w:hint="eastAsia" w:asciiTheme="minorEastAsia" w:hAnsiTheme="minorEastAsia" w:cstheme="minorEastAsia"/>
          <w:sz w:val="24"/>
          <w:szCs w:val="24"/>
        </w:rPr>
        <w:t>1.11 在设备</w:t>
      </w:r>
      <w:r>
        <w:rPr>
          <w:rFonts w:hint="eastAsia" w:asciiTheme="minorEastAsia" w:hAnsiTheme="minorEastAsia" w:cstheme="minorEastAsia"/>
          <w:sz w:val="24"/>
          <w:szCs w:val="24"/>
          <w:lang w:val="en-US" w:eastAsia="zh-CN"/>
        </w:rPr>
        <w:t>质保期</w:t>
      </w:r>
      <w:r>
        <w:rPr>
          <w:rFonts w:hint="eastAsia" w:asciiTheme="minorEastAsia" w:hAnsiTheme="minorEastAsia" w:cstheme="minorEastAsia"/>
          <w:sz w:val="24"/>
          <w:szCs w:val="24"/>
        </w:rPr>
        <w:t>内，如发生制造质量问题，应由报价方免费修理或更换；若因保管、使用不当使设备损伤，由报价方协助解决有关问题，做好技术服务工作。</w:t>
      </w:r>
    </w:p>
    <w:p>
      <w:pPr>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1.12 本技术规范中的“天”、“日”均指日历日，“年”、“月”、“日”按公历计算。</w:t>
      </w:r>
    </w:p>
    <w:p>
      <w:pPr>
        <w:pStyle w:val="3"/>
        <w:numPr>
          <w:ilvl w:val="0"/>
          <w:numId w:val="21"/>
        </w:numPr>
        <w:tabs>
          <w:tab w:val="left" w:pos="420"/>
        </w:tabs>
        <w:adjustRightInd w:val="0"/>
        <w:snapToGrid w:val="0"/>
        <w:spacing w:before="0" w:after="0" w:line="440" w:lineRule="exact"/>
        <w:rPr>
          <w:rFonts w:asciiTheme="minorEastAsia" w:hAnsiTheme="minorEastAsia" w:cstheme="minorEastAsia"/>
          <w:sz w:val="24"/>
          <w:szCs w:val="24"/>
        </w:rPr>
      </w:pPr>
      <w:bookmarkStart w:id="103" w:name="_Toc228"/>
      <w:bookmarkStart w:id="104" w:name="_Toc18630"/>
      <w:bookmarkStart w:id="105" w:name="_Toc515678554"/>
      <w:bookmarkStart w:id="106" w:name="_Toc66848111"/>
      <w:bookmarkStart w:id="107" w:name="_Toc515678523"/>
      <w:bookmarkStart w:id="108" w:name="_Toc8613"/>
      <w:bookmarkStart w:id="109" w:name="_Toc29995"/>
      <w:bookmarkStart w:id="110" w:name="_Toc381625545"/>
      <w:bookmarkStart w:id="111" w:name="_Toc26346"/>
      <w:r>
        <w:rPr>
          <w:rFonts w:hint="eastAsia" w:asciiTheme="minorEastAsia" w:hAnsiTheme="minorEastAsia" w:cstheme="minorEastAsia"/>
          <w:sz w:val="24"/>
          <w:szCs w:val="24"/>
        </w:rPr>
        <w:t>标准</w:t>
      </w:r>
      <w:bookmarkEnd w:id="103"/>
      <w:r>
        <w:rPr>
          <w:rFonts w:hint="eastAsia" w:asciiTheme="minorEastAsia" w:hAnsiTheme="minorEastAsia" w:cstheme="minorEastAsia"/>
          <w:sz w:val="24"/>
          <w:szCs w:val="24"/>
          <w:lang w:val="en-US" w:eastAsia="zh-CN"/>
        </w:rPr>
        <w:t>及规范</w:t>
      </w:r>
      <w:r>
        <w:rPr>
          <w:rFonts w:hint="eastAsia" w:asciiTheme="minorEastAsia" w:hAnsiTheme="minorEastAsia" w:cstheme="minorEastAsia"/>
          <w:sz w:val="24"/>
          <w:szCs w:val="24"/>
        </w:rPr>
        <w:t xml:space="preserve"> </w:t>
      </w:r>
    </w:p>
    <w:p>
      <w:pPr>
        <w:pStyle w:val="9"/>
        <w:adjustRightInd w:val="0"/>
        <w:snapToGrid w:val="0"/>
        <w:spacing w:after="0" w:line="440" w:lineRule="exact"/>
        <w:ind w:left="0" w:leftChars="0"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报价方提供的产品必需满足最新的国家有关标准和规范，以及IEC，ANSI，BS，IPCEA和NEMA等国际标准，包括其附录，其中优先选用GB标准。当与本技术规范有矛盾时，报价方应以书面形式向采购方提出，原则上以要求高者为准。</w:t>
      </w:r>
    </w:p>
    <w:p>
      <w:pPr>
        <w:numPr>
          <w:ilvl w:val="0"/>
          <w:numId w:val="22"/>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JB/T3595《电站阀门一般要求》</w:t>
      </w:r>
    </w:p>
    <w:p>
      <w:pPr>
        <w:numPr>
          <w:ilvl w:val="0"/>
          <w:numId w:val="22"/>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GB/T12221《法兰连接金属阀门结构长度》</w:t>
      </w:r>
    </w:p>
    <w:p>
      <w:pPr>
        <w:numPr>
          <w:ilvl w:val="0"/>
          <w:numId w:val="22"/>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GB/T12224《钢制阀门一般要求》</w:t>
      </w:r>
    </w:p>
    <w:p>
      <w:pPr>
        <w:numPr>
          <w:ilvl w:val="0"/>
          <w:numId w:val="22"/>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GB/T12334《通用阀门、法兰和对焊连接钢制闸阀》</w:t>
      </w:r>
    </w:p>
    <w:p>
      <w:pPr>
        <w:numPr>
          <w:ilvl w:val="0"/>
          <w:numId w:val="22"/>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GB/T12237《通用阀门  法兰和对焊连接钢制球阀》</w:t>
      </w:r>
    </w:p>
    <w:p>
      <w:pPr>
        <w:numPr>
          <w:ilvl w:val="0"/>
          <w:numId w:val="22"/>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GB/T13927《通用阀门  压力试验》</w:t>
      </w:r>
    </w:p>
    <w:p>
      <w:pPr>
        <w:numPr>
          <w:ilvl w:val="0"/>
          <w:numId w:val="22"/>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GB/T9113 《整体钢制管法兰》</w:t>
      </w:r>
    </w:p>
    <w:p>
      <w:pPr>
        <w:numPr>
          <w:ilvl w:val="0"/>
          <w:numId w:val="22"/>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GB/T15188.1《阀门的结构长度  对焊连接阀门》</w:t>
      </w:r>
    </w:p>
    <w:p>
      <w:pPr>
        <w:numPr>
          <w:ilvl w:val="0"/>
          <w:numId w:val="22"/>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AP1598《阀门的检验和试验》</w:t>
      </w:r>
    </w:p>
    <w:p>
      <w:pPr>
        <w:numPr>
          <w:ilvl w:val="0"/>
          <w:numId w:val="22"/>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AP1600《法兰和对焊连接的钢制阀门》</w:t>
      </w:r>
    </w:p>
    <w:p>
      <w:pPr>
        <w:numPr>
          <w:ilvl w:val="0"/>
          <w:numId w:val="22"/>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AP1602《法兰、螺纹、焊接和阀体加长的紧凑钢制闸阀》</w:t>
      </w:r>
    </w:p>
    <w:p>
      <w:pPr>
        <w:numPr>
          <w:ilvl w:val="0"/>
          <w:numId w:val="22"/>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AP1608《法兰、螺纹和焊接金属球阀》</w:t>
      </w:r>
    </w:p>
    <w:p>
      <w:pPr>
        <w:numPr>
          <w:ilvl w:val="0"/>
          <w:numId w:val="22"/>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ANS1B16.34《法兰、螺纹和焊接的阀门》</w:t>
      </w:r>
    </w:p>
    <w:p>
      <w:pPr>
        <w:numPr>
          <w:ilvl w:val="0"/>
          <w:numId w:val="22"/>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ANS1B16.10《阀门结构长度》</w:t>
      </w:r>
    </w:p>
    <w:p>
      <w:pPr>
        <w:numPr>
          <w:ilvl w:val="0"/>
          <w:numId w:val="22"/>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JB/T9092《阀门的检验与试验》</w:t>
      </w:r>
    </w:p>
    <w:p>
      <w:pPr>
        <w:numPr>
          <w:ilvl w:val="0"/>
          <w:numId w:val="22"/>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DL/T922《火力发电钢制通用阀门订货、验收导则》</w:t>
      </w:r>
    </w:p>
    <w:p>
      <w:pPr>
        <w:pStyle w:val="3"/>
        <w:numPr>
          <w:ilvl w:val="0"/>
          <w:numId w:val="21"/>
        </w:numPr>
        <w:tabs>
          <w:tab w:val="left" w:pos="420"/>
        </w:tabs>
        <w:adjustRightInd w:val="0"/>
        <w:snapToGrid w:val="0"/>
        <w:spacing w:before="0" w:after="0" w:line="440" w:lineRule="exact"/>
        <w:rPr>
          <w:rFonts w:hint="eastAsia" w:asciiTheme="minorEastAsia" w:hAnsiTheme="minorEastAsia" w:cstheme="minorEastAsia"/>
          <w:sz w:val="24"/>
          <w:szCs w:val="24"/>
          <w:lang w:val="en-US" w:eastAsia="zh-CN"/>
        </w:rPr>
      </w:pPr>
      <w:bookmarkStart w:id="112" w:name="_Toc12440"/>
      <w:r>
        <w:rPr>
          <w:rFonts w:hint="eastAsia" w:asciiTheme="minorEastAsia" w:hAnsiTheme="minorEastAsia" w:cstheme="minorEastAsia"/>
          <w:sz w:val="24"/>
          <w:szCs w:val="24"/>
          <w:lang w:val="en-US" w:eastAsia="zh-CN"/>
        </w:rPr>
        <w:t>供货范围</w:t>
      </w:r>
      <w:bookmarkEnd w:id="112"/>
    </w:p>
    <w:p>
      <w:pPr>
        <w:numPr>
          <w:ilvl w:val="0"/>
          <w:numId w:val="23"/>
        </w:numPr>
        <w:tabs>
          <w:tab w:val="left" w:pos="600"/>
        </w:tabs>
        <w:adjustRightInd w:val="0"/>
        <w:snapToGrid w:val="0"/>
        <w:spacing w:line="440" w:lineRule="exact"/>
        <w:ind w:left="0" w:leftChars="0" w:firstLine="0" w:firstLineChars="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报价方按照供货清单及供货范围内的阀门进行供货。</w:t>
      </w:r>
    </w:p>
    <w:p>
      <w:pPr>
        <w:numPr>
          <w:ilvl w:val="0"/>
          <w:numId w:val="23"/>
        </w:numPr>
        <w:tabs>
          <w:tab w:val="left" w:pos="600"/>
        </w:tabs>
        <w:adjustRightInd w:val="0"/>
        <w:snapToGrid w:val="0"/>
        <w:spacing w:line="440" w:lineRule="exact"/>
        <w:ind w:left="0" w:leftChars="0" w:firstLine="0" w:firstLineChars="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供货清单中依次说明型号、数量、产地、生产厂家等内容，所有外购件需得到采购方的确认。</w:t>
      </w:r>
    </w:p>
    <w:p>
      <w:pPr>
        <w:numPr>
          <w:ilvl w:val="0"/>
          <w:numId w:val="23"/>
        </w:numPr>
        <w:tabs>
          <w:tab w:val="left" w:pos="600"/>
        </w:tabs>
        <w:adjustRightInd w:val="0"/>
        <w:snapToGrid w:val="0"/>
        <w:spacing w:line="440" w:lineRule="exact"/>
        <w:ind w:left="0" w:leftChars="0" w:firstLine="0" w:firstLineChars="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 xml:space="preserve">供货范围应包括使所有阀门达到技术、性能要求所必须的设备和零部件，包括但不限于下列各项：供货清单表中所列的阀门本体及附件。  </w:t>
      </w:r>
    </w:p>
    <w:p>
      <w:pPr>
        <w:numPr>
          <w:ilvl w:val="0"/>
          <w:numId w:val="23"/>
        </w:numPr>
        <w:tabs>
          <w:tab w:val="left" w:pos="600"/>
        </w:tabs>
        <w:adjustRightInd w:val="0"/>
        <w:snapToGrid w:val="0"/>
        <w:spacing w:line="440" w:lineRule="exact"/>
        <w:ind w:left="0" w:leftChars="0" w:firstLine="0" w:firstLineChars="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供货清单一览表</w:t>
      </w:r>
    </w:p>
    <w:tbl>
      <w:tblPr>
        <w:tblStyle w:val="11"/>
        <w:tblpPr w:leftFromText="180" w:rightFromText="180" w:vertAnchor="text" w:horzAnchor="page" w:tblpX="1230" w:tblpY="151"/>
        <w:tblOverlap w:val="never"/>
        <w:tblW w:w="5128" w:type="pct"/>
        <w:tblInd w:w="0" w:type="dxa"/>
        <w:tblLayout w:type="autofit"/>
        <w:tblCellMar>
          <w:top w:w="0" w:type="dxa"/>
          <w:left w:w="108" w:type="dxa"/>
          <w:bottom w:w="0" w:type="dxa"/>
          <w:right w:w="108" w:type="dxa"/>
        </w:tblCellMar>
      </w:tblPr>
      <w:tblGrid>
        <w:gridCol w:w="711"/>
        <w:gridCol w:w="1367"/>
        <w:gridCol w:w="2175"/>
        <w:gridCol w:w="727"/>
        <w:gridCol w:w="710"/>
        <w:gridCol w:w="795"/>
        <w:gridCol w:w="3005"/>
      </w:tblGrid>
      <w:tr>
        <w:tblPrEx>
          <w:tblCellMar>
            <w:top w:w="0" w:type="dxa"/>
            <w:left w:w="108" w:type="dxa"/>
            <w:bottom w:w="0" w:type="dxa"/>
            <w:right w:w="108" w:type="dxa"/>
          </w:tblCellMar>
        </w:tblPrEx>
        <w:trPr>
          <w:trHeight w:val="737"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stheme="minorEastAsia"/>
                <w:kern w:val="0"/>
                <w:sz w:val="24"/>
                <w:szCs w:val="24"/>
              </w:rPr>
            </w:pPr>
            <w:bookmarkStart w:id="113" w:name="_Toc26867"/>
            <w:r>
              <w:rPr>
                <w:rFonts w:hint="eastAsia" w:asciiTheme="minorEastAsia" w:hAnsiTheme="minorEastAsia" w:cstheme="minorEastAsia"/>
                <w:kern w:val="0"/>
                <w:sz w:val="24"/>
                <w:szCs w:val="24"/>
              </w:rPr>
              <w:t>分项</w:t>
            </w:r>
          </w:p>
        </w:tc>
        <w:tc>
          <w:tcPr>
            <w:tcW w:w="720"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采购品名</w:t>
            </w:r>
          </w:p>
        </w:tc>
        <w:tc>
          <w:tcPr>
            <w:tcW w:w="1146"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规格型号</w:t>
            </w:r>
          </w:p>
        </w:tc>
        <w:tc>
          <w:tcPr>
            <w:tcW w:w="383"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单位</w:t>
            </w:r>
          </w:p>
        </w:tc>
        <w:tc>
          <w:tcPr>
            <w:tcW w:w="373"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数量</w:t>
            </w:r>
          </w:p>
        </w:tc>
        <w:tc>
          <w:tcPr>
            <w:tcW w:w="419"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质量</w:t>
            </w:r>
          </w:p>
          <w:p>
            <w:pPr>
              <w:widowControl/>
              <w:jc w:val="center"/>
              <w:rPr>
                <w:rFonts w:hint="default" w:asciiTheme="minorEastAsia" w:hAnsiTheme="minorEastAsia" w:cstheme="minorEastAsia"/>
                <w:kern w:val="0"/>
                <w:sz w:val="24"/>
                <w:szCs w:val="24"/>
                <w:lang w:val="en-US"/>
              </w:rPr>
            </w:pPr>
            <w:r>
              <w:rPr>
                <w:rFonts w:hint="eastAsia" w:asciiTheme="minorEastAsia" w:hAnsiTheme="minorEastAsia" w:cstheme="minorEastAsia"/>
                <w:kern w:val="0"/>
                <w:sz w:val="24"/>
                <w:szCs w:val="24"/>
                <w:lang w:val="en-US" w:eastAsia="zh-CN"/>
              </w:rPr>
              <w:t>等级</w:t>
            </w:r>
          </w:p>
        </w:tc>
        <w:tc>
          <w:tcPr>
            <w:tcW w:w="1581"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stheme="minorEastAsia"/>
                <w:kern w:val="0"/>
                <w:sz w:val="24"/>
                <w:szCs w:val="24"/>
              </w:rPr>
            </w:pPr>
            <w:r>
              <w:rPr>
                <w:rFonts w:hint="eastAsia" w:asciiTheme="minorEastAsia" w:hAnsiTheme="minorEastAsia" w:eastAsiaTheme="minorEastAsia" w:cstheme="minorEastAsia"/>
                <w:bCs/>
                <w:sz w:val="24"/>
                <w:szCs w:val="24"/>
              </w:rPr>
              <w:t>品牌推荐表</w:t>
            </w:r>
          </w:p>
        </w:tc>
      </w:tr>
      <w:tr>
        <w:tblPrEx>
          <w:tblCellMar>
            <w:top w:w="0" w:type="dxa"/>
            <w:left w:w="108" w:type="dxa"/>
            <w:bottom w:w="0" w:type="dxa"/>
            <w:right w:w="108" w:type="dxa"/>
          </w:tblCellMar>
        </w:tblPrEx>
        <w:trPr>
          <w:trHeight w:val="90" w:hRule="atLeast"/>
        </w:trPr>
        <w:tc>
          <w:tcPr>
            <w:tcW w:w="375" w:type="pct"/>
            <w:tcBorders>
              <w:top w:val="single" w:color="auto" w:sz="4" w:space="0"/>
              <w:left w:val="single" w:color="auto" w:sz="4" w:space="0"/>
              <w:right w:val="single" w:color="auto" w:sz="4" w:space="0"/>
            </w:tcBorders>
            <w:shd w:val="clear" w:color="auto" w:fill="auto"/>
            <w:vAlign w:val="center"/>
          </w:tcPr>
          <w:p>
            <w:pPr>
              <w:widowControl/>
              <w:jc w:val="center"/>
              <w:rPr>
                <w:rFonts w:asciiTheme="minorEastAsia" w:hAnsiTheme="minorEastAsia" w:cstheme="minorEastAsia"/>
                <w:szCs w:val="21"/>
              </w:rPr>
            </w:pPr>
            <w:r>
              <w:rPr>
                <w:rFonts w:hint="eastAsia" w:asciiTheme="minorEastAsia" w:hAnsiTheme="minorEastAsia" w:cstheme="minorEastAsia"/>
                <w:szCs w:val="21"/>
              </w:rPr>
              <w:t>1</w:t>
            </w:r>
          </w:p>
        </w:tc>
        <w:tc>
          <w:tcPr>
            <w:tcW w:w="720" w:type="pct"/>
            <w:tcBorders>
              <w:top w:val="single" w:color="auto" w:sz="4" w:space="0"/>
              <w:left w:val="nil"/>
              <w:right w:val="single" w:color="auto" w:sz="4" w:space="0"/>
            </w:tcBorders>
            <w:shd w:val="clear" w:color="auto" w:fill="auto"/>
            <w:vAlign w:val="center"/>
          </w:tcPr>
          <w:p>
            <w:pPr>
              <w:jc w:val="center"/>
              <w:rPr>
                <w:rFonts w:asciiTheme="minorEastAsia" w:hAnsiTheme="minorEastAsia" w:cstheme="minorEastAsia"/>
                <w:szCs w:val="21"/>
              </w:rPr>
            </w:pPr>
            <w:r>
              <w:rPr>
                <w:rFonts w:hint="eastAsia" w:asciiTheme="minorEastAsia" w:hAnsiTheme="minorEastAsia" w:cstheme="minorEastAsia"/>
                <w:sz w:val="24"/>
                <w:szCs w:val="24"/>
              </w:rPr>
              <w:t>电动闸阀</w:t>
            </w:r>
          </w:p>
        </w:tc>
        <w:tc>
          <w:tcPr>
            <w:tcW w:w="1146" w:type="pct"/>
            <w:tcBorders>
              <w:top w:val="single" w:color="auto" w:sz="4" w:space="0"/>
              <w:left w:val="nil"/>
              <w:right w:val="single" w:color="auto" w:sz="4" w:space="0"/>
            </w:tcBorders>
            <w:shd w:val="clear" w:color="auto" w:fill="auto"/>
            <w:vAlign w:val="center"/>
          </w:tcPr>
          <w:p>
            <w:pPr>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Z941H-100，</w:t>
            </w:r>
          </w:p>
          <w:p>
            <w:pPr>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rPr>
              <w:t>PN100，</w:t>
            </w:r>
            <w:r>
              <w:rPr>
                <w:rFonts w:hint="eastAsia" w:asciiTheme="minorEastAsia" w:hAnsiTheme="minorEastAsia" w:cstheme="minorEastAsia"/>
                <w:sz w:val="24"/>
                <w:szCs w:val="24"/>
                <w:lang w:val="en-US" w:eastAsia="zh-CN"/>
              </w:rPr>
              <w:t>DN125</w:t>
            </w:r>
          </w:p>
          <w:p>
            <w:pPr>
              <w:jc w:val="center"/>
              <w:rPr>
                <w:rFonts w:asciiTheme="minorEastAsia" w:hAnsiTheme="minorEastAsia" w:cstheme="minorEastAsia"/>
                <w:szCs w:val="21"/>
              </w:rPr>
            </w:pPr>
            <w:r>
              <w:rPr>
                <w:rFonts w:hint="eastAsia" w:ascii="宋体" w:hAnsi="宋体" w:eastAsia="宋体" w:cs="宋体"/>
                <w:sz w:val="24"/>
                <w:szCs w:val="24"/>
                <w:lang w:val="en-US" w:eastAsia="zh-CN"/>
              </w:rPr>
              <w:t>≮</w:t>
            </w:r>
            <w:r>
              <w:rPr>
                <w:rFonts w:hint="eastAsia" w:ascii="宋体" w:hAnsi="宋体" w:eastAsia="宋体" w:cs="宋体"/>
                <w:sz w:val="24"/>
                <w:szCs w:val="24"/>
              </w:rPr>
              <w:t>425℃</w:t>
            </w:r>
          </w:p>
        </w:tc>
        <w:tc>
          <w:tcPr>
            <w:tcW w:w="383" w:type="pct"/>
            <w:tcBorders>
              <w:top w:val="single" w:color="auto" w:sz="4" w:space="0"/>
              <w:left w:val="single" w:color="auto" w:sz="4" w:space="0"/>
              <w:right w:val="single" w:color="auto" w:sz="4" w:space="0"/>
            </w:tcBorders>
            <w:shd w:val="clear" w:color="auto" w:fill="auto"/>
            <w:noWrap/>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台</w:t>
            </w:r>
          </w:p>
        </w:tc>
        <w:tc>
          <w:tcPr>
            <w:tcW w:w="373" w:type="pct"/>
            <w:tcBorders>
              <w:top w:val="single" w:color="auto" w:sz="4" w:space="0"/>
              <w:left w:val="nil"/>
              <w:right w:val="single" w:color="auto" w:sz="4" w:space="0"/>
            </w:tcBorders>
            <w:shd w:val="clear" w:color="auto" w:fill="auto"/>
            <w:noWrap/>
            <w:vAlign w:val="center"/>
          </w:tcPr>
          <w:p>
            <w:pPr>
              <w:jc w:val="center"/>
              <w:rPr>
                <w:rFonts w:asciiTheme="minorEastAsia" w:hAnsiTheme="minorEastAsia" w:cstheme="minorEastAsia"/>
                <w:szCs w:val="21"/>
              </w:rPr>
            </w:pPr>
            <w:r>
              <w:rPr>
                <w:rFonts w:hint="eastAsia" w:asciiTheme="minorEastAsia" w:hAnsiTheme="minorEastAsia" w:cstheme="minorEastAsia"/>
                <w:szCs w:val="21"/>
              </w:rPr>
              <w:t>1</w:t>
            </w:r>
          </w:p>
        </w:tc>
        <w:tc>
          <w:tcPr>
            <w:tcW w:w="419" w:type="pct"/>
            <w:tcBorders>
              <w:top w:val="single" w:color="auto" w:sz="4" w:space="0"/>
              <w:left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合格</w:t>
            </w:r>
          </w:p>
        </w:tc>
        <w:tc>
          <w:tcPr>
            <w:tcW w:w="1581" w:type="pct"/>
            <w:tcBorders>
              <w:top w:val="single" w:color="auto" w:sz="4" w:space="0"/>
              <w:left w:val="single" w:color="auto" w:sz="4" w:space="0"/>
              <w:right w:val="single" w:color="auto" w:sz="4" w:space="0"/>
            </w:tcBorders>
            <w:shd w:val="clear" w:color="auto" w:fill="auto"/>
            <w:vAlign w:val="center"/>
          </w:tcPr>
          <w:p>
            <w:pPr>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推荐</w:t>
            </w:r>
            <w:r>
              <w:rPr>
                <w:rFonts w:hint="eastAsia" w:asciiTheme="minorEastAsia" w:hAnsiTheme="minorEastAsia" w:eastAsiaTheme="minorEastAsia" w:cstheme="minorEastAsia"/>
                <w:sz w:val="24"/>
                <w:szCs w:val="24"/>
              </w:rPr>
              <w:t>哈电</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上海亚核</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苏州高中压</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上海双高</w:t>
            </w:r>
            <w:r>
              <w:rPr>
                <w:rFonts w:hint="eastAsia" w:asciiTheme="minorEastAsia" w:hAnsiTheme="minorEastAsia" w:eastAsiaTheme="minorEastAsia" w:cstheme="minorEastAsia"/>
                <w:color w:val="000000"/>
                <w:sz w:val="24"/>
                <w:szCs w:val="24"/>
              </w:rPr>
              <w:t>等同质及以上产品</w:t>
            </w:r>
          </w:p>
          <w:p>
            <w:pPr>
              <w:widowControl/>
              <w:jc w:val="center"/>
              <w:rPr>
                <w:rFonts w:asciiTheme="minorEastAsia" w:hAnsiTheme="minorEastAsia" w:cstheme="minorEastAsia"/>
                <w:szCs w:val="21"/>
              </w:rPr>
            </w:pPr>
          </w:p>
        </w:tc>
      </w:tr>
      <w:tr>
        <w:tblPrEx>
          <w:tblCellMar>
            <w:top w:w="0" w:type="dxa"/>
            <w:left w:w="108" w:type="dxa"/>
            <w:bottom w:w="0" w:type="dxa"/>
            <w:right w:w="108" w:type="dxa"/>
          </w:tblCellMar>
        </w:tblPrEx>
        <w:trPr>
          <w:trHeight w:val="1166" w:hRule="atLeast"/>
        </w:trPr>
        <w:tc>
          <w:tcPr>
            <w:tcW w:w="375" w:type="pct"/>
            <w:tcBorders>
              <w:top w:val="single" w:color="auto" w:sz="4" w:space="0"/>
              <w:left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w:t>
            </w:r>
          </w:p>
        </w:tc>
        <w:tc>
          <w:tcPr>
            <w:tcW w:w="720" w:type="pct"/>
            <w:tcBorders>
              <w:top w:val="single" w:color="auto" w:sz="4" w:space="0"/>
              <w:left w:val="nil"/>
              <w:right w:val="single" w:color="auto" w:sz="4" w:space="0"/>
            </w:tcBorders>
            <w:shd w:val="clear" w:color="auto" w:fill="auto"/>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配套智能型电动执行机构</w:t>
            </w:r>
          </w:p>
        </w:tc>
        <w:tc>
          <w:tcPr>
            <w:tcW w:w="1146" w:type="pct"/>
            <w:tcBorders>
              <w:top w:val="single" w:color="auto" w:sz="4" w:space="0"/>
              <w:left w:val="nil"/>
              <w:right w:val="single" w:color="auto" w:sz="4" w:space="0"/>
            </w:tcBorders>
            <w:shd w:val="clear" w:color="auto" w:fill="auto"/>
            <w:vAlign w:val="center"/>
          </w:tcPr>
          <w:p>
            <w:pPr>
              <w:ind w:firstLine="210" w:firstLineChars="100"/>
              <w:jc w:val="both"/>
              <w:rPr>
                <w:rFonts w:hint="eastAsia" w:asciiTheme="minorEastAsia" w:hAnsiTheme="minorEastAsia" w:cstheme="minorEastAsia"/>
                <w:szCs w:val="21"/>
              </w:rPr>
            </w:pPr>
            <w:r>
              <w:rPr>
                <w:rFonts w:hint="eastAsia" w:asciiTheme="minorEastAsia" w:hAnsiTheme="minorEastAsia" w:cstheme="minorEastAsia"/>
                <w:szCs w:val="21"/>
                <w:highlight w:val="none"/>
                <w:lang w:val="en-US" w:eastAsia="zh-CN"/>
              </w:rPr>
              <w:t>由报价方根据阀门特性选配，必须满足阀门操作要求</w:t>
            </w:r>
          </w:p>
        </w:tc>
        <w:tc>
          <w:tcPr>
            <w:tcW w:w="383" w:type="pct"/>
            <w:tcBorders>
              <w:top w:val="single" w:color="auto" w:sz="4" w:space="0"/>
              <w:left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台</w:t>
            </w:r>
          </w:p>
        </w:tc>
        <w:tc>
          <w:tcPr>
            <w:tcW w:w="373" w:type="pct"/>
            <w:tcBorders>
              <w:top w:val="single" w:color="auto" w:sz="4" w:space="0"/>
              <w:left w:val="nil"/>
              <w:right w:val="single" w:color="auto" w:sz="4" w:space="0"/>
            </w:tcBorders>
            <w:shd w:val="clear" w:color="auto" w:fill="auto"/>
            <w:noWrap/>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1</w:t>
            </w:r>
          </w:p>
        </w:tc>
        <w:tc>
          <w:tcPr>
            <w:tcW w:w="419" w:type="pct"/>
            <w:tcBorders>
              <w:top w:val="single" w:color="auto" w:sz="4" w:space="0"/>
              <w:left w:val="single" w:color="auto" w:sz="4" w:space="0"/>
              <w:right w:val="single" w:color="auto" w:sz="4" w:space="0"/>
            </w:tcBorders>
            <w:shd w:val="clear" w:color="auto" w:fill="auto"/>
            <w:vAlign w:val="center"/>
          </w:tcPr>
          <w:p>
            <w:pPr>
              <w:jc w:val="center"/>
              <w:rPr>
                <w:rFonts w:asciiTheme="minorEastAsia" w:hAnsiTheme="minorEastAsia" w:cstheme="minorEastAsia"/>
                <w:szCs w:val="21"/>
              </w:rPr>
            </w:pPr>
          </w:p>
        </w:tc>
        <w:tc>
          <w:tcPr>
            <w:tcW w:w="1581" w:type="pct"/>
            <w:tcBorders>
              <w:top w:val="single" w:color="auto" w:sz="4" w:space="0"/>
              <w:left w:val="single" w:color="auto" w:sz="4" w:space="0"/>
              <w:right w:val="single" w:color="auto" w:sz="4" w:space="0"/>
            </w:tcBorders>
            <w:shd w:val="clear" w:color="auto" w:fill="auto"/>
            <w:vAlign w:val="center"/>
          </w:tcPr>
          <w:p>
            <w:pPr>
              <w:widowControl/>
              <w:ind w:firstLine="480" w:firstLineChars="200"/>
              <w:jc w:val="both"/>
              <w:rPr>
                <w:rFonts w:asciiTheme="minorEastAsia" w:hAnsiTheme="minorEastAsia" w:cstheme="minorEastAsia"/>
                <w:szCs w:val="21"/>
              </w:rPr>
            </w:pPr>
            <w:r>
              <w:rPr>
                <w:rFonts w:hint="eastAsia" w:asciiTheme="minorEastAsia" w:hAnsiTheme="minorEastAsia" w:eastAsiaTheme="minorEastAsia" w:cstheme="minorEastAsia"/>
                <w:sz w:val="24"/>
                <w:szCs w:val="24"/>
                <w:lang w:val="en-US" w:eastAsia="zh-CN"/>
              </w:rPr>
              <w:t>推荐</w:t>
            </w:r>
            <w:r>
              <w:rPr>
                <w:rFonts w:hint="eastAsia" w:asciiTheme="minorEastAsia" w:hAnsiTheme="minorEastAsia" w:eastAsiaTheme="minorEastAsia" w:cstheme="minorEastAsia"/>
                <w:sz w:val="24"/>
                <w:szCs w:val="24"/>
              </w:rPr>
              <w:t>南京科远、西贝、</w:t>
            </w:r>
            <w:r>
              <w:rPr>
                <w:rFonts w:hint="eastAsia" w:asciiTheme="minorEastAsia" w:hAnsiTheme="minorEastAsia" w:cstheme="minorEastAsia"/>
                <w:sz w:val="24"/>
                <w:szCs w:val="24"/>
                <w:lang w:val="en-US" w:eastAsia="zh-CN"/>
              </w:rPr>
              <w:t>英国</w:t>
            </w:r>
            <w:r>
              <w:rPr>
                <w:rFonts w:hint="eastAsia" w:asciiTheme="minorEastAsia" w:hAnsiTheme="minorEastAsia" w:eastAsiaTheme="minorEastAsia" w:cstheme="minorEastAsia"/>
                <w:sz w:val="24"/>
                <w:szCs w:val="24"/>
              </w:rPr>
              <w:t>罗托克、西博斯</w:t>
            </w:r>
            <w:r>
              <w:rPr>
                <w:rFonts w:hint="eastAsia" w:asciiTheme="minorEastAsia" w:hAnsiTheme="minorEastAsia" w:eastAsiaTheme="minorEastAsia" w:cstheme="minorEastAsia"/>
                <w:color w:val="000000"/>
                <w:sz w:val="24"/>
                <w:szCs w:val="24"/>
              </w:rPr>
              <w:t>等同质及以上产品</w:t>
            </w:r>
          </w:p>
        </w:tc>
      </w:tr>
      <w:tr>
        <w:tblPrEx>
          <w:tblCellMar>
            <w:top w:w="0" w:type="dxa"/>
            <w:left w:w="108" w:type="dxa"/>
            <w:bottom w:w="0" w:type="dxa"/>
            <w:right w:w="108" w:type="dxa"/>
          </w:tblCellMar>
        </w:tblPrEx>
        <w:trPr>
          <w:trHeight w:val="1157" w:hRule="atLeast"/>
        </w:trPr>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3</w:t>
            </w:r>
          </w:p>
        </w:tc>
        <w:tc>
          <w:tcPr>
            <w:tcW w:w="720"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rPr>
              <w:t>全套法兰、螺栓、垫片等附件</w:t>
            </w:r>
          </w:p>
        </w:tc>
        <w:tc>
          <w:tcPr>
            <w:tcW w:w="1146" w:type="pct"/>
            <w:tcBorders>
              <w:top w:val="single" w:color="auto" w:sz="4" w:space="0"/>
              <w:left w:val="nil"/>
              <w:bottom w:val="single" w:color="auto" w:sz="4" w:space="0"/>
              <w:right w:val="single" w:color="auto" w:sz="4" w:space="0"/>
            </w:tcBorders>
            <w:shd w:val="clear" w:color="auto" w:fill="auto"/>
            <w:vAlign w:val="center"/>
          </w:tcPr>
          <w:p>
            <w:pPr>
              <w:jc w:val="left"/>
              <w:rPr>
                <w:rFonts w:hint="eastAsia" w:asciiTheme="minorEastAsia" w:hAnsiTheme="minorEastAsia" w:cstheme="minorEastAsia"/>
                <w:szCs w:val="21"/>
              </w:rPr>
            </w:pP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项</w:t>
            </w:r>
          </w:p>
        </w:tc>
        <w:tc>
          <w:tcPr>
            <w:tcW w:w="373" w:type="pct"/>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1</w:t>
            </w:r>
          </w:p>
        </w:tc>
        <w:tc>
          <w:tcPr>
            <w:tcW w:w="41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szCs w:val="21"/>
              </w:rPr>
            </w:pPr>
          </w:p>
        </w:tc>
        <w:tc>
          <w:tcPr>
            <w:tcW w:w="15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cstheme="minorEastAsia"/>
                <w:szCs w:val="21"/>
              </w:rPr>
            </w:pPr>
          </w:p>
        </w:tc>
      </w:tr>
      <w:tr>
        <w:tblPrEx>
          <w:tblCellMar>
            <w:top w:w="0" w:type="dxa"/>
            <w:left w:w="108" w:type="dxa"/>
            <w:bottom w:w="0" w:type="dxa"/>
            <w:right w:w="108" w:type="dxa"/>
          </w:tblCellMar>
        </w:tblPrEx>
        <w:trPr>
          <w:trHeight w:val="762" w:hRule="atLeast"/>
        </w:trPr>
        <w:tc>
          <w:tcPr>
            <w:tcW w:w="299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cstheme="minorEastAsia"/>
                <w:sz w:val="30"/>
                <w:szCs w:val="30"/>
                <w:lang w:val="en-US" w:eastAsia="zh-CN"/>
              </w:rPr>
            </w:pPr>
            <w:r>
              <w:rPr>
                <w:rFonts w:hint="eastAsia" w:asciiTheme="minorEastAsia" w:hAnsiTheme="minorEastAsia" w:cstheme="minorEastAsia"/>
                <w:sz w:val="30"/>
                <w:szCs w:val="30"/>
                <w:lang w:val="en-US" w:eastAsia="zh-CN"/>
              </w:rPr>
              <w:t>合计（元）</w:t>
            </w:r>
            <w:r>
              <w:rPr>
                <w:rFonts w:hint="eastAsia" w:asciiTheme="minorEastAsia" w:hAnsiTheme="minorEastAsia" w:cstheme="minorEastAsia"/>
                <w:sz w:val="30"/>
                <w:szCs w:val="30"/>
              </w:rPr>
              <w:t>13%增值税专票</w:t>
            </w:r>
          </w:p>
        </w:tc>
        <w:tc>
          <w:tcPr>
            <w:tcW w:w="200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cstheme="minorEastAsia"/>
                <w:sz w:val="30"/>
                <w:szCs w:val="30"/>
              </w:rPr>
            </w:pPr>
          </w:p>
        </w:tc>
      </w:tr>
      <w:tr>
        <w:tblPrEx>
          <w:tblCellMar>
            <w:top w:w="0" w:type="dxa"/>
            <w:left w:w="108" w:type="dxa"/>
            <w:bottom w:w="0" w:type="dxa"/>
            <w:right w:w="108" w:type="dxa"/>
          </w:tblCellMar>
        </w:tblPrEx>
        <w:trPr>
          <w:trHeight w:val="602" w:hRule="atLeast"/>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Theme="minorEastAsia" w:hAnsiTheme="minorEastAsia" w:cstheme="minorEastAsia"/>
                <w:szCs w:val="21"/>
              </w:rPr>
            </w:pPr>
            <w:r>
              <w:rPr>
                <w:rFonts w:hint="eastAsia" w:hAnsi="宋体"/>
                <w:b/>
                <w:sz w:val="24"/>
                <w:szCs w:val="24"/>
              </w:rPr>
              <w:t>备注：</w:t>
            </w:r>
            <w:r>
              <w:rPr>
                <w:rFonts w:hint="eastAsia" w:hAnsi="宋体"/>
                <w:sz w:val="24"/>
                <w:szCs w:val="24"/>
              </w:rPr>
              <w:t>本次采购为整体采购</w:t>
            </w:r>
            <w:r>
              <w:rPr>
                <w:rFonts w:hint="eastAsia" w:hAnsi="宋体"/>
                <w:sz w:val="24"/>
                <w:szCs w:val="24"/>
                <w:lang w:eastAsia="zh-CN"/>
              </w:rPr>
              <w:t>，</w:t>
            </w:r>
            <w:r>
              <w:rPr>
                <w:rFonts w:hint="eastAsia" w:hAnsi="宋体"/>
                <w:sz w:val="24"/>
                <w:szCs w:val="24"/>
              </w:rPr>
              <w:t>响应供应商必须对</w:t>
            </w:r>
            <w:r>
              <w:rPr>
                <w:rFonts w:hint="eastAsia" w:hAnsi="宋体"/>
                <w:sz w:val="24"/>
                <w:szCs w:val="24"/>
                <w:lang w:val="en-US" w:eastAsia="zh-CN"/>
              </w:rPr>
              <w:t>询价</w:t>
            </w:r>
            <w:r>
              <w:rPr>
                <w:rFonts w:hint="eastAsia" w:hAnsi="宋体"/>
                <w:sz w:val="24"/>
                <w:szCs w:val="24"/>
              </w:rPr>
              <w:t>项目一览表中的所有货物进行完整</w:t>
            </w:r>
            <w:r>
              <w:rPr>
                <w:rFonts w:hint="eastAsia" w:hAnsi="宋体"/>
                <w:sz w:val="24"/>
                <w:szCs w:val="24"/>
                <w:lang w:val="en-US" w:eastAsia="zh-CN"/>
              </w:rPr>
              <w:t>报价</w:t>
            </w:r>
            <w:r>
              <w:rPr>
                <w:rFonts w:hint="eastAsia" w:hAnsi="宋体"/>
                <w:sz w:val="24"/>
                <w:szCs w:val="24"/>
              </w:rPr>
              <w:t>响应。</w:t>
            </w:r>
            <w:r>
              <w:rPr>
                <w:rFonts w:hint="eastAsia" w:asciiTheme="minorEastAsia" w:hAnsiTheme="minorEastAsia" w:eastAsiaTheme="minorEastAsia" w:cstheme="minorEastAsia"/>
                <w:sz w:val="24"/>
                <w:szCs w:val="24"/>
              </w:rPr>
              <w:t>对属于整套设备运行和</w:t>
            </w:r>
            <w:r>
              <w:rPr>
                <w:rFonts w:hint="eastAsia" w:asciiTheme="minorEastAsia" w:hAnsiTheme="minorEastAsia" w:cstheme="minorEastAsia"/>
                <w:sz w:val="24"/>
                <w:szCs w:val="24"/>
                <w:lang w:val="en-US" w:eastAsia="zh-CN"/>
              </w:rPr>
              <w:t>安装</w:t>
            </w:r>
            <w:r>
              <w:rPr>
                <w:rFonts w:hint="eastAsia" w:asciiTheme="minorEastAsia" w:hAnsiTheme="minorEastAsia" w:eastAsiaTheme="minorEastAsia" w:cstheme="minorEastAsia"/>
                <w:sz w:val="24"/>
                <w:szCs w:val="24"/>
              </w:rPr>
              <w:t>施工所必需的部件，如本</w:t>
            </w:r>
            <w:r>
              <w:rPr>
                <w:rFonts w:hint="eastAsia" w:asciiTheme="minorEastAsia" w:hAnsiTheme="minorEastAsia" w:cstheme="minorEastAsia"/>
                <w:sz w:val="24"/>
                <w:szCs w:val="24"/>
                <w:lang w:val="en-US" w:eastAsia="zh-CN"/>
              </w:rPr>
              <w:t>报价表中</w:t>
            </w:r>
            <w:r>
              <w:rPr>
                <w:rFonts w:hint="eastAsia" w:asciiTheme="minorEastAsia" w:hAnsiTheme="minorEastAsia" w:eastAsiaTheme="minorEastAsia" w:cstheme="minorEastAsia"/>
                <w:sz w:val="24"/>
                <w:szCs w:val="24"/>
              </w:rPr>
              <w:t>未列出/或数量不足，</w:t>
            </w:r>
            <w:r>
              <w:rPr>
                <w:rFonts w:hint="eastAsia" w:asciiTheme="minorEastAsia" w:hAnsiTheme="minorEastAsia" w:cstheme="minorEastAsia"/>
                <w:sz w:val="24"/>
                <w:szCs w:val="24"/>
                <w:lang w:val="en-US" w:eastAsia="zh-CN"/>
              </w:rPr>
              <w:t>报价</w:t>
            </w:r>
            <w:r>
              <w:rPr>
                <w:rFonts w:hint="eastAsia" w:asciiTheme="minorEastAsia" w:hAnsiTheme="minorEastAsia" w:eastAsiaTheme="minorEastAsia" w:cstheme="minorEastAsia"/>
                <w:sz w:val="24"/>
                <w:szCs w:val="24"/>
              </w:rPr>
              <w:t>方仍需在执行合同时</w:t>
            </w:r>
            <w:r>
              <w:rPr>
                <w:rFonts w:hint="eastAsia" w:asciiTheme="minorEastAsia" w:hAnsiTheme="minorEastAsia" w:cstheme="minorEastAsia"/>
                <w:sz w:val="24"/>
                <w:szCs w:val="24"/>
                <w:lang w:val="en-US" w:eastAsia="zh-CN"/>
              </w:rPr>
              <w:t>予以</w:t>
            </w:r>
            <w:r>
              <w:rPr>
                <w:rFonts w:hint="eastAsia" w:asciiTheme="minorEastAsia" w:hAnsiTheme="minorEastAsia" w:eastAsiaTheme="minorEastAsia" w:cstheme="minorEastAsia"/>
                <w:sz w:val="24"/>
                <w:szCs w:val="24"/>
              </w:rPr>
              <w:t>补足。</w:t>
            </w:r>
          </w:p>
        </w:tc>
      </w:tr>
    </w:tbl>
    <w:p>
      <w:pPr>
        <w:pStyle w:val="3"/>
        <w:numPr>
          <w:ilvl w:val="0"/>
          <w:numId w:val="0"/>
        </w:numPr>
        <w:tabs>
          <w:tab w:val="left" w:pos="420"/>
        </w:tabs>
        <w:adjustRightInd w:val="0"/>
        <w:snapToGrid w:val="0"/>
        <w:spacing w:before="0" w:after="0" w:line="440" w:lineRule="exact"/>
        <w:ind w:leftChars="0"/>
        <w:rPr>
          <w:rFonts w:asciiTheme="minorEastAsia" w:hAnsiTheme="minorEastAsia" w:cstheme="minorEastAsia"/>
          <w:sz w:val="24"/>
          <w:szCs w:val="24"/>
        </w:rPr>
      </w:pPr>
    </w:p>
    <w:p>
      <w:pPr>
        <w:pStyle w:val="3"/>
        <w:numPr>
          <w:ilvl w:val="0"/>
          <w:numId w:val="21"/>
        </w:numPr>
        <w:tabs>
          <w:tab w:val="left" w:pos="420"/>
        </w:tabs>
        <w:adjustRightInd w:val="0"/>
        <w:snapToGrid w:val="0"/>
        <w:spacing w:before="0" w:after="0" w:line="440" w:lineRule="exact"/>
        <w:rPr>
          <w:rFonts w:asciiTheme="minorEastAsia" w:hAnsiTheme="minorEastAsia" w:cstheme="minorEastAsia"/>
          <w:sz w:val="24"/>
          <w:szCs w:val="24"/>
        </w:rPr>
      </w:pPr>
      <w:r>
        <w:rPr>
          <w:rFonts w:hint="eastAsia" w:asciiTheme="minorEastAsia" w:hAnsiTheme="minorEastAsia" w:cstheme="minorEastAsia"/>
          <w:sz w:val="24"/>
          <w:szCs w:val="24"/>
        </w:rPr>
        <w:t>技术要求</w:t>
      </w:r>
      <w:bookmarkEnd w:id="104"/>
      <w:bookmarkEnd w:id="105"/>
      <w:bookmarkEnd w:id="106"/>
      <w:bookmarkEnd w:id="107"/>
      <w:bookmarkEnd w:id="108"/>
      <w:bookmarkEnd w:id="109"/>
      <w:bookmarkEnd w:id="110"/>
      <w:bookmarkEnd w:id="111"/>
      <w:bookmarkEnd w:id="113"/>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阀门使用参数：</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介质：锅炉给水（除盐水）</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使用压力：6.9Mpa</w:t>
      </w:r>
    </w:p>
    <w:p>
      <w:pPr>
        <w:pStyle w:val="2"/>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highlight w:val="none"/>
          <w:lang w:val="en-US" w:eastAsia="zh-CN"/>
        </w:rPr>
      </w:pPr>
      <w:r>
        <w:rPr>
          <w:rFonts w:hint="eastAsia"/>
          <w:highlight w:val="none"/>
          <w:lang w:val="en-US" w:eastAsia="zh-CN"/>
        </w:rPr>
        <w:t>介质温度：104</w:t>
      </w:r>
      <w:r>
        <w:rPr>
          <w:rFonts w:hint="eastAsia" w:ascii="宋体" w:hAnsi="宋体" w:eastAsia="宋体" w:cs="宋体"/>
          <w:highlight w:val="none"/>
          <w:lang w:val="en-US" w:eastAsia="zh-CN"/>
        </w:rPr>
        <w:t>℃</w:t>
      </w:r>
    </w:p>
    <w:p>
      <w:pPr>
        <w:pStyle w:val="2"/>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default"/>
          <w:highlight w:val="none"/>
          <w:lang w:val="en-US" w:eastAsia="zh-CN"/>
        </w:rPr>
      </w:pPr>
      <w:r>
        <w:rPr>
          <w:rFonts w:hint="eastAsia"/>
          <w:highlight w:val="none"/>
          <w:lang w:val="en-US" w:eastAsia="zh-CN"/>
        </w:rPr>
        <w:t>最大通流量：200t/h</w:t>
      </w:r>
    </w:p>
    <w:p>
      <w:pPr>
        <w:numPr>
          <w:ilvl w:val="0"/>
          <w:numId w:val="24"/>
        </w:numPr>
        <w:tabs>
          <w:tab w:val="left" w:pos="600"/>
        </w:tabs>
        <w:adjustRightInd w:val="0"/>
        <w:snapToGrid w:val="0"/>
        <w:spacing w:line="440" w:lineRule="exact"/>
        <w:ind w:left="0" w:leftChars="0" w:firstLine="0" w:firstLineChars="0"/>
        <w:rPr>
          <w:rFonts w:asciiTheme="minorEastAsia" w:hAnsiTheme="minorEastAsia" w:cstheme="minorEastAsia"/>
          <w:sz w:val="24"/>
          <w:szCs w:val="24"/>
        </w:rPr>
      </w:pPr>
      <w:r>
        <w:rPr>
          <w:rFonts w:hint="eastAsia" w:asciiTheme="minorEastAsia" w:hAnsiTheme="minorEastAsia" w:cstheme="minorEastAsia"/>
          <w:sz w:val="24"/>
          <w:szCs w:val="24"/>
        </w:rPr>
        <w:t>基本要求</w:t>
      </w:r>
    </w:p>
    <w:p>
      <w:pPr>
        <w:numPr>
          <w:ilvl w:val="0"/>
          <w:numId w:val="25"/>
        </w:numPr>
        <w:tabs>
          <w:tab w:val="left" w:pos="600"/>
        </w:tabs>
        <w:adjustRightInd w:val="0"/>
        <w:snapToGrid w:val="0"/>
        <w:spacing w:line="440" w:lineRule="exact"/>
        <w:ind w:left="0" w:leftChars="0" w:firstLine="0" w:firstLineChars="0"/>
        <w:rPr>
          <w:rFonts w:asciiTheme="minorEastAsia" w:hAnsiTheme="minorEastAsia" w:cstheme="minorEastAsia"/>
          <w:sz w:val="24"/>
          <w:szCs w:val="24"/>
        </w:rPr>
      </w:pPr>
      <w:r>
        <w:rPr>
          <w:rFonts w:hint="eastAsia" w:asciiTheme="minorEastAsia" w:hAnsiTheme="minorEastAsia" w:cstheme="minorEastAsia"/>
          <w:sz w:val="24"/>
          <w:szCs w:val="24"/>
        </w:rPr>
        <w:t>报价方的品牌产品应为全新成熟产品。报价方保证提供设备为全新的、先进的、成熟的、完整的和安全可靠的，且设备的技术经济性能符合本规范书的要求。</w:t>
      </w:r>
    </w:p>
    <w:p>
      <w:pPr>
        <w:numPr>
          <w:ilvl w:val="0"/>
          <w:numId w:val="25"/>
        </w:numPr>
        <w:tabs>
          <w:tab w:val="left" w:pos="600"/>
        </w:tabs>
        <w:adjustRightInd w:val="0"/>
        <w:snapToGrid w:val="0"/>
        <w:spacing w:line="440" w:lineRule="exact"/>
        <w:ind w:left="0" w:leftChars="0" w:firstLine="0" w:firstLineChars="0"/>
        <w:rPr>
          <w:rFonts w:asciiTheme="minorEastAsia" w:hAnsiTheme="minorEastAsia" w:cstheme="minorEastAsia"/>
          <w:sz w:val="24"/>
          <w:szCs w:val="24"/>
        </w:rPr>
      </w:pPr>
      <w:r>
        <w:rPr>
          <w:rFonts w:hint="eastAsia" w:asciiTheme="minorEastAsia" w:hAnsiTheme="minorEastAsia" w:cstheme="minorEastAsia"/>
          <w:sz w:val="24"/>
          <w:szCs w:val="24"/>
        </w:rPr>
        <w:t>报价方产品必须在国内、国际具有五年以上成功应用业绩，无不良使用和售后服务记录。</w:t>
      </w:r>
    </w:p>
    <w:p>
      <w:pPr>
        <w:numPr>
          <w:ilvl w:val="0"/>
          <w:numId w:val="25"/>
        </w:numPr>
        <w:tabs>
          <w:tab w:val="left" w:pos="600"/>
        </w:tabs>
        <w:adjustRightInd w:val="0"/>
        <w:snapToGrid w:val="0"/>
        <w:spacing w:line="440" w:lineRule="exact"/>
        <w:ind w:left="0" w:leftChars="0" w:firstLine="0" w:firstLineChars="0"/>
        <w:rPr>
          <w:rFonts w:asciiTheme="minorEastAsia" w:hAnsiTheme="minorEastAsia" w:cstheme="minorEastAsia"/>
          <w:sz w:val="24"/>
          <w:szCs w:val="24"/>
        </w:rPr>
      </w:pPr>
      <w:r>
        <w:rPr>
          <w:rFonts w:hint="eastAsia" w:asciiTheme="minorEastAsia" w:hAnsiTheme="minorEastAsia" w:cstheme="minorEastAsia"/>
          <w:sz w:val="24"/>
          <w:szCs w:val="24"/>
        </w:rPr>
        <w:t>报价方应依照采购方提出的技术参数条件，选定满足要求的阀门并提供阀门的规范。所有阀门必须按ANSI B16.34、B31.1、ASTM及国标等相关标准执行、选材、制造和试验。阀门的设计应满足介质温度、压力、流量、流向、以及严密性要求，并满足系统开/关时间的要求。</w:t>
      </w:r>
    </w:p>
    <w:p>
      <w:pPr>
        <w:numPr>
          <w:ilvl w:val="0"/>
          <w:numId w:val="25"/>
        </w:numPr>
        <w:tabs>
          <w:tab w:val="left" w:pos="600"/>
        </w:tabs>
        <w:adjustRightInd w:val="0"/>
        <w:snapToGrid w:val="0"/>
        <w:spacing w:line="440" w:lineRule="exact"/>
        <w:ind w:left="0" w:leftChars="0" w:firstLine="0" w:firstLineChars="0"/>
        <w:rPr>
          <w:rFonts w:asciiTheme="minorEastAsia" w:hAnsiTheme="minorEastAsia" w:cstheme="minorEastAsia"/>
          <w:sz w:val="24"/>
          <w:szCs w:val="24"/>
        </w:rPr>
      </w:pPr>
      <w:r>
        <w:rPr>
          <w:rFonts w:hint="eastAsia" w:asciiTheme="minorEastAsia" w:hAnsiTheme="minorEastAsia" w:cstheme="minorEastAsia"/>
          <w:sz w:val="24"/>
          <w:szCs w:val="24"/>
        </w:rPr>
        <w:t>阀门应开关灵活，无卡涩现象，密封可靠，其运行寿命保证30年（易损件除外）。</w:t>
      </w:r>
    </w:p>
    <w:p>
      <w:pPr>
        <w:numPr>
          <w:ilvl w:val="0"/>
          <w:numId w:val="25"/>
        </w:numPr>
        <w:tabs>
          <w:tab w:val="left" w:pos="600"/>
        </w:tabs>
        <w:adjustRightInd w:val="0"/>
        <w:snapToGrid w:val="0"/>
        <w:spacing w:line="440" w:lineRule="exact"/>
        <w:ind w:left="0" w:leftChars="0" w:firstLine="0" w:firstLineChars="0"/>
        <w:rPr>
          <w:rFonts w:asciiTheme="minorEastAsia" w:hAnsiTheme="minorEastAsia" w:cstheme="minorEastAsia"/>
          <w:sz w:val="24"/>
          <w:szCs w:val="24"/>
        </w:rPr>
      </w:pPr>
      <w:r>
        <w:rPr>
          <w:rFonts w:hint="eastAsia" w:asciiTheme="minorEastAsia" w:hAnsiTheme="minorEastAsia" w:cstheme="minorEastAsia"/>
          <w:sz w:val="24"/>
          <w:szCs w:val="24"/>
        </w:rPr>
        <w:t>报价方应详细说明产品的以下几种情况(但不限于此)：阀体、阀盖、阀芯、阀杆等零部件的材质、硬度及各材质允许的温度范围；阀门填料材质、特点及密封效果；阀门抗冲刷性能及密封面的优良性能；阀门的最短保证使用寿命；阀门的执行机构厂家及特点。</w:t>
      </w:r>
    </w:p>
    <w:p>
      <w:pPr>
        <w:numPr>
          <w:ilvl w:val="0"/>
          <w:numId w:val="25"/>
        </w:numPr>
        <w:tabs>
          <w:tab w:val="left" w:pos="600"/>
        </w:tabs>
        <w:adjustRightInd w:val="0"/>
        <w:snapToGrid w:val="0"/>
        <w:spacing w:line="440" w:lineRule="exact"/>
        <w:ind w:left="0" w:leftChars="0" w:firstLine="0" w:firstLineChars="0"/>
        <w:rPr>
          <w:rFonts w:hint="eastAsia" w:asciiTheme="minorEastAsia" w:hAnsiTheme="minorEastAsia" w:cstheme="minorEastAsia"/>
          <w:sz w:val="24"/>
          <w:szCs w:val="24"/>
        </w:rPr>
      </w:pPr>
      <w:r>
        <w:rPr>
          <w:rFonts w:hint="eastAsia" w:asciiTheme="minorEastAsia" w:hAnsiTheme="minorEastAsia" w:cstheme="minorEastAsia"/>
          <w:sz w:val="24"/>
          <w:szCs w:val="24"/>
        </w:rPr>
        <w:t>阀门应外观无裂纹、缩孔、加渣、粘砂、漏焊、重皮等缺陷；表面光滑、无凹陷、无尖锐划痕现象； 操作动作灵活、指示正确；质保期内无内漏、外漏现象。</w:t>
      </w:r>
    </w:p>
    <w:p>
      <w:pPr>
        <w:numPr>
          <w:ilvl w:val="0"/>
          <w:numId w:val="25"/>
        </w:numPr>
        <w:tabs>
          <w:tab w:val="left" w:pos="600"/>
        </w:tabs>
        <w:adjustRightInd w:val="0"/>
        <w:snapToGrid w:val="0"/>
        <w:spacing w:line="440" w:lineRule="exact"/>
        <w:ind w:left="0" w:leftChars="0" w:firstLine="0" w:firstLineChars="0"/>
        <w:rPr>
          <w:rFonts w:hint="eastAsia" w:asciiTheme="minorEastAsia" w:hAnsiTheme="minorEastAsia" w:cstheme="minorEastAsia"/>
          <w:sz w:val="24"/>
          <w:szCs w:val="24"/>
        </w:rPr>
      </w:pPr>
      <w:r>
        <w:rPr>
          <w:rFonts w:hint="eastAsia" w:asciiTheme="minorEastAsia" w:hAnsiTheme="minorEastAsia" w:cstheme="minorEastAsia"/>
          <w:sz w:val="24"/>
          <w:szCs w:val="24"/>
        </w:rPr>
        <w:t>阀门中的不锈钢，根据温度选择，但应为不低于1Cr18Ni9Ti材质。</w:t>
      </w:r>
    </w:p>
    <w:p>
      <w:pPr>
        <w:numPr>
          <w:ilvl w:val="0"/>
          <w:numId w:val="25"/>
        </w:numPr>
        <w:tabs>
          <w:tab w:val="left" w:pos="600"/>
        </w:tabs>
        <w:adjustRightInd w:val="0"/>
        <w:snapToGrid w:val="0"/>
        <w:spacing w:line="440" w:lineRule="exact"/>
        <w:ind w:left="0" w:leftChars="0" w:firstLine="0" w:firstLineChars="0"/>
        <w:rPr>
          <w:rFonts w:hint="eastAsia" w:asciiTheme="minorEastAsia" w:hAnsiTheme="minorEastAsia" w:cstheme="minorEastAsia"/>
          <w:sz w:val="24"/>
          <w:szCs w:val="24"/>
        </w:rPr>
      </w:pPr>
      <w:r>
        <w:rPr>
          <w:rFonts w:hint="eastAsia" w:asciiTheme="minorEastAsia" w:hAnsiTheme="minorEastAsia" w:cstheme="minorEastAsia"/>
          <w:sz w:val="24"/>
          <w:szCs w:val="24"/>
        </w:rPr>
        <w:t>阀门盘根等密封件都要提供全套备件。对使用的盘根、密封垫等密封填料应作具体要求，应使用高强石墨成型盘根和高强石墨垫或金属缠绕垫，并符合或优于国家相关标准和规范。阀门应提供至少满足更换一次的盘根、密封垫等全套填料备品。</w:t>
      </w:r>
    </w:p>
    <w:p>
      <w:pPr>
        <w:numPr>
          <w:ilvl w:val="0"/>
          <w:numId w:val="25"/>
        </w:numPr>
        <w:tabs>
          <w:tab w:val="left" w:pos="600"/>
        </w:tabs>
        <w:adjustRightInd w:val="0"/>
        <w:snapToGrid w:val="0"/>
        <w:spacing w:line="440" w:lineRule="exact"/>
        <w:ind w:left="0" w:leftChars="0" w:firstLine="0" w:firstLineChars="0"/>
        <w:rPr>
          <w:rFonts w:hint="eastAsia" w:asciiTheme="minorEastAsia" w:hAnsiTheme="minorEastAsia" w:cstheme="minorEastAsia"/>
          <w:sz w:val="24"/>
          <w:szCs w:val="24"/>
        </w:rPr>
      </w:pPr>
      <w:r>
        <w:rPr>
          <w:rFonts w:hint="eastAsia" w:asciiTheme="minorEastAsia" w:hAnsiTheme="minorEastAsia" w:cstheme="minorEastAsia"/>
          <w:sz w:val="24"/>
          <w:szCs w:val="24"/>
        </w:rPr>
        <w:t>阀门应严格按照国家标准，出厂前进行打压试验，试验合格证齐全。阀门内部紧固件应有可靠的防松脱措施。</w:t>
      </w:r>
    </w:p>
    <w:p>
      <w:pPr>
        <w:numPr>
          <w:ilvl w:val="0"/>
          <w:numId w:val="24"/>
        </w:numPr>
        <w:tabs>
          <w:tab w:val="left" w:pos="600"/>
        </w:tabs>
        <w:adjustRightInd w:val="0"/>
        <w:snapToGrid w:val="0"/>
        <w:spacing w:line="440" w:lineRule="exact"/>
        <w:ind w:left="0" w:leftChars="0" w:firstLine="0" w:firstLineChars="0"/>
        <w:rPr>
          <w:rFonts w:hint="eastAsia" w:asciiTheme="minorEastAsia" w:hAnsiTheme="minorEastAsia" w:cstheme="minorEastAsia"/>
          <w:sz w:val="24"/>
          <w:szCs w:val="24"/>
        </w:rPr>
      </w:pPr>
      <w:bookmarkStart w:id="114" w:name="_Ref374765936"/>
      <w:bookmarkStart w:id="115" w:name="_Toc378080880"/>
      <w:r>
        <w:rPr>
          <w:rFonts w:hint="eastAsia" w:asciiTheme="minorEastAsia" w:hAnsiTheme="minorEastAsia" w:cstheme="minorEastAsia"/>
          <w:sz w:val="24"/>
          <w:szCs w:val="24"/>
        </w:rPr>
        <w:t>材料</w:t>
      </w:r>
      <w:bookmarkEnd w:id="114"/>
      <w:bookmarkEnd w:id="115"/>
    </w:p>
    <w:p>
      <w:pPr>
        <w:numPr>
          <w:ilvl w:val="0"/>
          <w:numId w:val="26"/>
        </w:numPr>
        <w:tabs>
          <w:tab w:val="left" w:pos="600"/>
        </w:tabs>
        <w:adjustRightInd w:val="0"/>
        <w:snapToGrid w:val="0"/>
        <w:spacing w:line="440" w:lineRule="exact"/>
        <w:ind w:left="0" w:leftChars="0" w:firstLine="0" w:firstLineChars="0"/>
        <w:rPr>
          <w:rFonts w:asciiTheme="minorEastAsia" w:hAnsiTheme="minorEastAsia" w:cstheme="minorEastAsia"/>
          <w:sz w:val="24"/>
          <w:szCs w:val="24"/>
        </w:rPr>
      </w:pPr>
      <w:r>
        <w:rPr>
          <w:rFonts w:hint="eastAsia" w:asciiTheme="minorEastAsia" w:hAnsiTheme="minorEastAsia" w:cstheme="minorEastAsia"/>
          <w:sz w:val="24"/>
          <w:szCs w:val="24"/>
        </w:rPr>
        <w:t>报价方应保证所有材料适合于所输送的流体。所有承压零部件材料，非承压材料如垫片、填料均应符合相关规范、标准的要求。</w:t>
      </w:r>
    </w:p>
    <w:p>
      <w:pPr>
        <w:numPr>
          <w:ilvl w:val="0"/>
          <w:numId w:val="26"/>
        </w:numPr>
        <w:tabs>
          <w:tab w:val="left" w:pos="600"/>
        </w:tabs>
        <w:adjustRightInd w:val="0"/>
        <w:snapToGrid w:val="0"/>
        <w:spacing w:line="440" w:lineRule="exact"/>
        <w:ind w:left="0" w:leftChars="0" w:firstLine="0" w:firstLineChars="0"/>
        <w:rPr>
          <w:rFonts w:asciiTheme="minorEastAsia" w:hAnsiTheme="minorEastAsia" w:cstheme="minorEastAsia"/>
          <w:sz w:val="24"/>
          <w:szCs w:val="24"/>
        </w:rPr>
      </w:pPr>
      <w:r>
        <w:rPr>
          <w:rFonts w:hint="eastAsia" w:asciiTheme="minorEastAsia" w:hAnsiTheme="minorEastAsia" w:cstheme="minorEastAsia"/>
          <w:sz w:val="24"/>
          <w:szCs w:val="24"/>
        </w:rPr>
        <w:t>报价方应根据介质和限定的工作条件</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进行材料选用并提供给采购方确认</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但不能推卸选用材料的责任。</w:t>
      </w:r>
    </w:p>
    <w:p>
      <w:pPr>
        <w:numPr>
          <w:ilvl w:val="0"/>
          <w:numId w:val="24"/>
        </w:numPr>
        <w:tabs>
          <w:tab w:val="left" w:pos="600"/>
        </w:tabs>
        <w:adjustRightInd w:val="0"/>
        <w:snapToGrid w:val="0"/>
        <w:spacing w:line="440" w:lineRule="exact"/>
        <w:ind w:left="0" w:leftChars="0" w:firstLine="0" w:firstLineChars="0"/>
        <w:rPr>
          <w:rFonts w:hint="eastAsia" w:asciiTheme="minorEastAsia" w:hAnsiTheme="minorEastAsia" w:cstheme="minorEastAsia"/>
          <w:sz w:val="24"/>
          <w:szCs w:val="24"/>
        </w:rPr>
      </w:pPr>
      <w:bookmarkStart w:id="116" w:name="_Toc515678556"/>
      <w:bookmarkStart w:id="117" w:name="_Toc515678525"/>
      <w:r>
        <w:rPr>
          <w:rFonts w:hint="eastAsia" w:asciiTheme="minorEastAsia" w:hAnsiTheme="minorEastAsia" w:cstheme="minorEastAsia"/>
          <w:sz w:val="24"/>
          <w:szCs w:val="24"/>
        </w:rPr>
        <w:t xml:space="preserve">噪音控制 </w:t>
      </w:r>
    </w:p>
    <w:p>
      <w:pPr>
        <w:numPr>
          <w:ilvl w:val="0"/>
          <w:numId w:val="27"/>
        </w:numPr>
        <w:tabs>
          <w:tab w:val="left" w:pos="600"/>
        </w:tabs>
        <w:adjustRightInd w:val="0"/>
        <w:snapToGrid w:val="0"/>
        <w:spacing w:line="440" w:lineRule="exact"/>
        <w:ind w:left="0" w:leftChars="0" w:firstLine="0" w:firstLineChars="0"/>
        <w:rPr>
          <w:rFonts w:asciiTheme="minorEastAsia" w:hAnsiTheme="minorEastAsia" w:cstheme="minorEastAsia"/>
          <w:sz w:val="24"/>
          <w:szCs w:val="24"/>
        </w:rPr>
      </w:pPr>
      <w:r>
        <w:rPr>
          <w:rFonts w:hint="eastAsia" w:asciiTheme="minorEastAsia" w:hAnsiTheme="minorEastAsia" w:cstheme="minorEastAsia"/>
          <w:sz w:val="24"/>
          <w:szCs w:val="24"/>
        </w:rPr>
        <w:t>报价方提供的阀门应符合本规范书所要求的阀门噪声水平：在距离阀门外壳1m处的噪音应不超过85dB(A)。</w:t>
      </w:r>
    </w:p>
    <w:p>
      <w:pPr>
        <w:numPr>
          <w:ilvl w:val="0"/>
          <w:numId w:val="27"/>
        </w:numPr>
        <w:tabs>
          <w:tab w:val="left" w:pos="600"/>
        </w:tabs>
        <w:adjustRightInd w:val="0"/>
        <w:snapToGrid w:val="0"/>
        <w:spacing w:line="440" w:lineRule="exact"/>
        <w:ind w:left="0" w:leftChars="0" w:firstLine="0" w:firstLineChars="0"/>
        <w:rPr>
          <w:rFonts w:asciiTheme="minorEastAsia" w:hAnsiTheme="minorEastAsia" w:cstheme="minorEastAsia"/>
          <w:sz w:val="24"/>
          <w:szCs w:val="24"/>
        </w:rPr>
      </w:pPr>
      <w:r>
        <w:rPr>
          <w:rFonts w:hint="eastAsia" w:asciiTheme="minorEastAsia" w:hAnsiTheme="minorEastAsia" w:cstheme="minorEastAsia"/>
          <w:sz w:val="24"/>
          <w:szCs w:val="24"/>
        </w:rPr>
        <w:t>若报价方提供的阀门噪音水平超过上述允许极限，报价方应采取降低噪音的措施并提供给采购方确认。</w:t>
      </w:r>
    </w:p>
    <w:p>
      <w:pPr>
        <w:numPr>
          <w:ilvl w:val="0"/>
          <w:numId w:val="27"/>
        </w:numPr>
        <w:tabs>
          <w:tab w:val="left" w:pos="600"/>
        </w:tabs>
        <w:adjustRightInd w:val="0"/>
        <w:snapToGrid w:val="0"/>
        <w:spacing w:line="440" w:lineRule="exact"/>
        <w:ind w:left="0" w:leftChars="0" w:firstLine="0" w:firstLineChars="0"/>
        <w:rPr>
          <w:rFonts w:asciiTheme="minorEastAsia" w:hAnsiTheme="minorEastAsia" w:cstheme="minorEastAsia"/>
          <w:sz w:val="24"/>
          <w:szCs w:val="24"/>
        </w:rPr>
      </w:pPr>
      <w:r>
        <w:rPr>
          <w:rFonts w:hint="eastAsia" w:asciiTheme="minorEastAsia" w:hAnsiTheme="minorEastAsia" w:cstheme="minorEastAsia"/>
          <w:sz w:val="24"/>
          <w:szCs w:val="24"/>
        </w:rPr>
        <w:t>报价方阀门噪音超过采购方要求数值，应采取降低噪音的措施，若实施降低噪音措施仍无法满足允许极限噪声，采购方有权退货处理。</w:t>
      </w:r>
    </w:p>
    <w:p>
      <w:pPr>
        <w:numPr>
          <w:ilvl w:val="0"/>
          <w:numId w:val="24"/>
        </w:numPr>
        <w:tabs>
          <w:tab w:val="left" w:pos="600"/>
        </w:tabs>
        <w:adjustRightInd w:val="0"/>
        <w:snapToGrid w:val="0"/>
        <w:spacing w:line="440" w:lineRule="exact"/>
        <w:ind w:left="0" w:leftChars="0" w:firstLine="0" w:firstLineChars="0"/>
        <w:rPr>
          <w:rFonts w:hint="eastAsia" w:asciiTheme="minorEastAsia" w:hAnsiTheme="minorEastAsia" w:cstheme="minorEastAsia"/>
          <w:sz w:val="24"/>
          <w:szCs w:val="24"/>
        </w:rPr>
      </w:pPr>
      <w:r>
        <w:rPr>
          <w:rFonts w:hint="eastAsia" w:asciiTheme="minorEastAsia" w:hAnsiTheme="minorEastAsia" w:cstheme="minorEastAsia"/>
          <w:sz w:val="24"/>
          <w:szCs w:val="24"/>
        </w:rPr>
        <w:t>清理</w:t>
      </w:r>
    </w:p>
    <w:p>
      <w:pPr>
        <w:numPr>
          <w:ilvl w:val="0"/>
          <w:numId w:val="28"/>
        </w:numPr>
        <w:tabs>
          <w:tab w:val="left" w:pos="600"/>
        </w:tabs>
        <w:adjustRightInd w:val="0"/>
        <w:snapToGrid w:val="0"/>
        <w:spacing w:line="440" w:lineRule="exact"/>
        <w:ind w:left="0" w:leftChars="0" w:firstLine="0" w:firstLineChars="0"/>
        <w:rPr>
          <w:rFonts w:asciiTheme="minorEastAsia" w:hAnsiTheme="minorEastAsia" w:cstheme="minorEastAsia"/>
          <w:sz w:val="24"/>
          <w:szCs w:val="24"/>
        </w:rPr>
      </w:pPr>
      <w:r>
        <w:rPr>
          <w:rFonts w:hint="eastAsia" w:asciiTheme="minorEastAsia" w:hAnsiTheme="minorEastAsia" w:cstheme="minorEastAsia"/>
          <w:sz w:val="24"/>
          <w:szCs w:val="24"/>
        </w:rPr>
        <w:t>所有杂物(如金属屑、焊渣等)应从每个部件的内部清出。所有磨碎物、锈斑、油、脂、粉尘等有害物质应从阀门内、外表面清除干净。确保出厂发运时阀门内、外表面清洁干净。</w:t>
      </w:r>
    </w:p>
    <w:p>
      <w:pPr>
        <w:numPr>
          <w:ilvl w:val="0"/>
          <w:numId w:val="28"/>
        </w:numPr>
        <w:tabs>
          <w:tab w:val="left" w:pos="600"/>
        </w:tabs>
        <w:adjustRightInd w:val="0"/>
        <w:snapToGrid w:val="0"/>
        <w:spacing w:line="440" w:lineRule="exact"/>
        <w:ind w:left="0" w:leftChars="0" w:firstLine="0" w:firstLineChars="0"/>
        <w:rPr>
          <w:rFonts w:asciiTheme="minorEastAsia" w:hAnsiTheme="minorEastAsia" w:cstheme="minorEastAsia"/>
          <w:sz w:val="24"/>
          <w:szCs w:val="24"/>
        </w:rPr>
      </w:pPr>
      <w:r>
        <w:rPr>
          <w:rFonts w:hint="eastAsia" w:asciiTheme="minorEastAsia" w:hAnsiTheme="minorEastAsia" w:cstheme="minorEastAsia"/>
          <w:sz w:val="24"/>
          <w:szCs w:val="24"/>
        </w:rPr>
        <w:t>当采用化学清洗时，严禁阀体有任何凹坑或其它损伤。</w:t>
      </w:r>
    </w:p>
    <w:p>
      <w:pPr>
        <w:numPr>
          <w:ilvl w:val="0"/>
          <w:numId w:val="24"/>
        </w:numPr>
        <w:tabs>
          <w:tab w:val="left" w:pos="600"/>
        </w:tabs>
        <w:adjustRightInd w:val="0"/>
        <w:snapToGrid w:val="0"/>
        <w:spacing w:line="440" w:lineRule="exact"/>
        <w:ind w:left="0" w:leftChars="0" w:firstLine="0" w:firstLineChars="0"/>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 表面处理、油漆</w:t>
      </w:r>
    </w:p>
    <w:p>
      <w:pPr>
        <w:numPr>
          <w:ilvl w:val="0"/>
          <w:numId w:val="29"/>
        </w:numPr>
        <w:tabs>
          <w:tab w:val="left" w:pos="600"/>
        </w:tabs>
        <w:adjustRightInd w:val="0"/>
        <w:snapToGrid w:val="0"/>
        <w:spacing w:line="440" w:lineRule="exact"/>
        <w:ind w:left="0" w:leftChars="0" w:firstLine="0" w:firstLineChars="0"/>
        <w:rPr>
          <w:rFonts w:asciiTheme="minorEastAsia" w:hAnsiTheme="minorEastAsia" w:cstheme="minorEastAsia"/>
          <w:sz w:val="24"/>
          <w:szCs w:val="24"/>
        </w:rPr>
      </w:pPr>
      <w:r>
        <w:rPr>
          <w:rFonts w:hint="eastAsia" w:asciiTheme="minorEastAsia" w:hAnsiTheme="minorEastAsia" w:cstheme="minorEastAsia"/>
          <w:sz w:val="24"/>
          <w:szCs w:val="24"/>
        </w:rPr>
        <w:t>报价方应根据设备不同表面进行处理或油漆，对设备表面处理的方式予以说明，对需油漆的设备，出厂前应喷涂二层底漆一层面漆，油漆应考虑海边防盐雾要求并适应安装地点的环境条件。</w:t>
      </w:r>
    </w:p>
    <w:p>
      <w:pPr>
        <w:numPr>
          <w:ilvl w:val="0"/>
          <w:numId w:val="29"/>
        </w:numPr>
        <w:tabs>
          <w:tab w:val="left" w:pos="600"/>
        </w:tabs>
        <w:adjustRightInd w:val="0"/>
        <w:snapToGrid w:val="0"/>
        <w:spacing w:line="440" w:lineRule="exact"/>
        <w:ind w:left="0" w:leftChars="0" w:firstLine="0" w:firstLineChars="0"/>
        <w:rPr>
          <w:rFonts w:asciiTheme="minorEastAsia" w:hAnsiTheme="minorEastAsia" w:cstheme="minorEastAsia"/>
          <w:sz w:val="24"/>
          <w:szCs w:val="24"/>
        </w:rPr>
      </w:pPr>
      <w:r>
        <w:rPr>
          <w:rFonts w:hint="eastAsia" w:asciiTheme="minorEastAsia" w:hAnsiTheme="minorEastAsia" w:cstheme="minorEastAsia"/>
          <w:sz w:val="24"/>
          <w:szCs w:val="24"/>
        </w:rPr>
        <w:t>设备在包装前应完全干燥，清除零部件内部的所有杂物，内外表面不应有痕迹，所有开孔及法兰接口等应加以保护，防止设备在运输、贮存期间被损害、腐蚀或进入杂质</w:t>
      </w:r>
    </w:p>
    <w:p>
      <w:pPr>
        <w:numPr>
          <w:ilvl w:val="0"/>
          <w:numId w:val="29"/>
        </w:numPr>
        <w:tabs>
          <w:tab w:val="left" w:pos="600"/>
        </w:tabs>
        <w:adjustRightInd w:val="0"/>
        <w:snapToGrid w:val="0"/>
        <w:spacing w:line="440" w:lineRule="exact"/>
        <w:ind w:left="0" w:leftChars="0" w:firstLine="0" w:firstLineChars="0"/>
        <w:rPr>
          <w:rFonts w:asciiTheme="minorEastAsia" w:hAnsiTheme="minorEastAsia" w:cstheme="minorEastAsia"/>
          <w:sz w:val="24"/>
          <w:szCs w:val="24"/>
        </w:rPr>
      </w:pPr>
      <w:r>
        <w:rPr>
          <w:rFonts w:hint="eastAsia" w:asciiTheme="minorEastAsia" w:hAnsiTheme="minorEastAsia" w:cstheme="minorEastAsia"/>
          <w:sz w:val="24"/>
          <w:szCs w:val="24"/>
        </w:rPr>
        <w:t>报价方应提供</w:t>
      </w:r>
      <w:r>
        <w:rPr>
          <w:rFonts w:hint="eastAsia" w:asciiTheme="minorEastAsia" w:hAnsiTheme="minorEastAsia" w:cstheme="minorEastAsia"/>
          <w:sz w:val="24"/>
          <w:szCs w:val="24"/>
          <w:lang w:val="en-US" w:eastAsia="zh-CN"/>
        </w:rPr>
        <w:t>设备</w:t>
      </w:r>
      <w:r>
        <w:rPr>
          <w:rFonts w:hint="eastAsia" w:asciiTheme="minorEastAsia" w:hAnsiTheme="minorEastAsia" w:cstheme="minorEastAsia"/>
          <w:sz w:val="24"/>
          <w:szCs w:val="24"/>
        </w:rPr>
        <w:t>防腐的完整说明。</w:t>
      </w:r>
    </w:p>
    <w:p>
      <w:pPr>
        <w:numPr>
          <w:ilvl w:val="0"/>
          <w:numId w:val="29"/>
        </w:numPr>
        <w:tabs>
          <w:tab w:val="left" w:pos="600"/>
        </w:tabs>
        <w:adjustRightInd w:val="0"/>
        <w:snapToGrid w:val="0"/>
        <w:spacing w:line="440" w:lineRule="exact"/>
        <w:ind w:left="0" w:leftChars="0" w:firstLine="0" w:firstLineChars="0"/>
        <w:rPr>
          <w:rFonts w:asciiTheme="minorEastAsia" w:hAnsiTheme="minorEastAsia" w:cstheme="minorEastAsia"/>
          <w:sz w:val="24"/>
          <w:szCs w:val="24"/>
        </w:rPr>
      </w:pPr>
      <w:r>
        <w:rPr>
          <w:rFonts w:hint="eastAsia" w:asciiTheme="minorEastAsia" w:hAnsiTheme="minorEastAsia" w:cstheme="minorEastAsia"/>
          <w:sz w:val="24"/>
          <w:szCs w:val="24"/>
        </w:rPr>
        <w:t>报价方提供的设备部件，除特殊部件外（如管件等），均应遵照国家标准和有关包装的技术条件进行包装。采取防雨，防潮，防锈，防震等措施，以免在运输和储存过程遭受腐蚀和损伤。或按照最好的商业惯例，使用坚固的箱子进行包装，并应根据不同货物的特性及要求，采取措施。以保证从交货起18个月内设备完整无损。</w:t>
      </w:r>
    </w:p>
    <w:p>
      <w:pPr>
        <w:numPr>
          <w:ilvl w:val="0"/>
          <w:numId w:val="29"/>
        </w:numPr>
        <w:tabs>
          <w:tab w:val="left" w:pos="600"/>
        </w:tabs>
        <w:adjustRightInd w:val="0"/>
        <w:snapToGrid w:val="0"/>
        <w:spacing w:line="440" w:lineRule="exact"/>
        <w:ind w:left="0" w:leftChars="0" w:firstLine="0" w:firstLineChars="0"/>
        <w:rPr>
          <w:rFonts w:asciiTheme="minorEastAsia" w:hAnsiTheme="minorEastAsia" w:cstheme="minorEastAsia"/>
          <w:sz w:val="24"/>
          <w:szCs w:val="24"/>
        </w:rPr>
      </w:pPr>
      <w:r>
        <w:rPr>
          <w:rFonts w:hint="eastAsia" w:asciiTheme="minorEastAsia" w:hAnsiTheme="minorEastAsia" w:cstheme="minorEastAsia"/>
          <w:sz w:val="24"/>
          <w:szCs w:val="24"/>
        </w:rPr>
        <w:t>报价方所提供技术文件应妥善包装，能承受长途运输和多次搬运，并应防止潮气和雨水的侵蚀。每个技术文件邮包应装有详细目录清单。每个包装件必须有与该包装件相符的装箱单1份（另1份邮寄）放置于适当位置，并采用防潮密封包装。</w:t>
      </w:r>
    </w:p>
    <w:p>
      <w:pPr>
        <w:numPr>
          <w:ilvl w:val="0"/>
          <w:numId w:val="24"/>
        </w:numPr>
        <w:tabs>
          <w:tab w:val="left" w:pos="600"/>
        </w:tabs>
        <w:adjustRightInd w:val="0"/>
        <w:snapToGrid w:val="0"/>
        <w:spacing w:line="440" w:lineRule="exact"/>
        <w:ind w:left="0" w:leftChars="0" w:firstLine="0" w:firstLineChars="0"/>
        <w:rPr>
          <w:rFonts w:hint="eastAsia" w:asciiTheme="minorEastAsia" w:hAnsiTheme="minorEastAsia" w:cstheme="minorEastAsia"/>
          <w:sz w:val="24"/>
          <w:szCs w:val="24"/>
        </w:rPr>
      </w:pPr>
      <w:r>
        <w:rPr>
          <w:rFonts w:hint="eastAsia" w:asciiTheme="minorEastAsia" w:hAnsiTheme="minorEastAsia" w:cstheme="minorEastAsia"/>
          <w:sz w:val="24"/>
          <w:szCs w:val="24"/>
        </w:rPr>
        <w:t>标志</w:t>
      </w:r>
    </w:p>
    <w:p>
      <w:pPr>
        <w:numPr>
          <w:ilvl w:val="0"/>
          <w:numId w:val="30"/>
        </w:numPr>
        <w:tabs>
          <w:tab w:val="left" w:pos="600"/>
        </w:tabs>
        <w:adjustRightInd w:val="0"/>
        <w:snapToGrid w:val="0"/>
        <w:spacing w:line="440" w:lineRule="exact"/>
        <w:ind w:left="0" w:leftChars="0" w:firstLine="0" w:firstLineChars="0"/>
        <w:rPr>
          <w:rFonts w:asciiTheme="minorEastAsia" w:hAnsiTheme="minorEastAsia" w:cstheme="minorEastAsia"/>
          <w:sz w:val="24"/>
          <w:szCs w:val="24"/>
        </w:rPr>
      </w:pPr>
      <w:r>
        <w:rPr>
          <w:rFonts w:hint="eastAsia" w:asciiTheme="minorEastAsia" w:hAnsiTheme="minorEastAsia" w:cstheme="minorEastAsia"/>
          <w:sz w:val="24"/>
          <w:szCs w:val="24"/>
        </w:rPr>
        <w:t>阀门都应装设用耐腐蚀材料制作的标识和铭牌，在运输和使用过程中应确保这些标识和铭牌不被损坏。</w:t>
      </w:r>
    </w:p>
    <w:p>
      <w:pPr>
        <w:numPr>
          <w:ilvl w:val="0"/>
          <w:numId w:val="30"/>
        </w:numPr>
        <w:tabs>
          <w:tab w:val="left" w:pos="600"/>
        </w:tabs>
        <w:adjustRightInd w:val="0"/>
        <w:snapToGrid w:val="0"/>
        <w:spacing w:line="440" w:lineRule="exact"/>
        <w:ind w:left="0" w:leftChars="0" w:firstLine="0" w:firstLineChars="0"/>
        <w:rPr>
          <w:rFonts w:asciiTheme="minorEastAsia" w:hAnsiTheme="minorEastAsia" w:cstheme="minorEastAsia"/>
          <w:sz w:val="24"/>
          <w:szCs w:val="24"/>
        </w:rPr>
      </w:pPr>
      <w:r>
        <w:rPr>
          <w:rFonts w:hint="eastAsia" w:asciiTheme="minorEastAsia" w:hAnsiTheme="minorEastAsia" w:cstheme="minorEastAsia"/>
          <w:sz w:val="24"/>
          <w:szCs w:val="24"/>
        </w:rPr>
        <w:t>阀门出厂时应有明显的金属铭牌，铭牌上至少载明下列各项：</w:t>
      </w:r>
    </w:p>
    <w:p>
      <w:pPr>
        <w:numPr>
          <w:ilvl w:val="0"/>
          <w:numId w:val="31"/>
        </w:numPr>
        <w:tabs>
          <w:tab w:val="left" w:pos="600"/>
        </w:tabs>
        <w:adjustRightInd w:val="0"/>
        <w:snapToGrid w:val="0"/>
        <w:spacing w:line="440" w:lineRule="exact"/>
        <w:ind w:left="0" w:leftChars="0" w:firstLine="0" w:firstLineChars="0"/>
        <w:rPr>
          <w:rFonts w:asciiTheme="minorEastAsia" w:hAnsiTheme="minorEastAsia" w:cstheme="minorEastAsia"/>
          <w:sz w:val="24"/>
          <w:szCs w:val="24"/>
        </w:rPr>
      </w:pPr>
      <w:r>
        <w:rPr>
          <w:rFonts w:hint="eastAsia" w:asciiTheme="minorEastAsia" w:hAnsiTheme="minorEastAsia" w:cstheme="minorEastAsia"/>
          <w:sz w:val="24"/>
          <w:szCs w:val="24"/>
        </w:rPr>
        <w:t>阀门型式，规格</w:t>
      </w:r>
    </w:p>
    <w:p>
      <w:pPr>
        <w:numPr>
          <w:ilvl w:val="0"/>
          <w:numId w:val="31"/>
        </w:numPr>
        <w:tabs>
          <w:tab w:val="left" w:pos="600"/>
        </w:tabs>
        <w:adjustRightInd w:val="0"/>
        <w:snapToGrid w:val="0"/>
        <w:spacing w:line="440" w:lineRule="exact"/>
        <w:ind w:left="0" w:leftChars="0" w:firstLine="0" w:firstLineChars="0"/>
        <w:rPr>
          <w:rFonts w:asciiTheme="minorEastAsia" w:hAnsiTheme="minorEastAsia" w:cstheme="minorEastAsia"/>
          <w:sz w:val="24"/>
          <w:szCs w:val="24"/>
        </w:rPr>
      </w:pPr>
      <w:r>
        <w:rPr>
          <w:rFonts w:hint="eastAsia" w:asciiTheme="minorEastAsia" w:hAnsiTheme="minorEastAsia" w:cstheme="minorEastAsia"/>
          <w:sz w:val="24"/>
          <w:szCs w:val="24"/>
        </w:rPr>
        <w:t>制造厂名，制造许可证编号</w:t>
      </w:r>
    </w:p>
    <w:p>
      <w:pPr>
        <w:numPr>
          <w:ilvl w:val="0"/>
          <w:numId w:val="31"/>
        </w:numPr>
        <w:tabs>
          <w:tab w:val="left" w:pos="600"/>
        </w:tabs>
        <w:adjustRightInd w:val="0"/>
        <w:snapToGrid w:val="0"/>
        <w:spacing w:line="440" w:lineRule="exact"/>
        <w:ind w:left="0" w:leftChars="0" w:firstLine="0" w:firstLineChars="0"/>
        <w:rPr>
          <w:rFonts w:asciiTheme="minorEastAsia" w:hAnsiTheme="minorEastAsia" w:cstheme="minorEastAsia"/>
          <w:sz w:val="24"/>
          <w:szCs w:val="24"/>
        </w:rPr>
      </w:pPr>
      <w:r>
        <w:rPr>
          <w:rFonts w:hint="eastAsia" w:asciiTheme="minorEastAsia" w:hAnsiTheme="minorEastAsia" w:cstheme="minorEastAsia"/>
          <w:sz w:val="24"/>
          <w:szCs w:val="24"/>
        </w:rPr>
        <w:t>产品编号</w:t>
      </w:r>
    </w:p>
    <w:p>
      <w:pPr>
        <w:numPr>
          <w:ilvl w:val="0"/>
          <w:numId w:val="31"/>
        </w:numPr>
        <w:tabs>
          <w:tab w:val="left" w:pos="600"/>
        </w:tabs>
        <w:adjustRightInd w:val="0"/>
        <w:snapToGrid w:val="0"/>
        <w:spacing w:line="440" w:lineRule="exact"/>
        <w:ind w:left="0" w:leftChars="0" w:firstLine="0" w:firstLineChars="0"/>
        <w:rPr>
          <w:rFonts w:asciiTheme="minorEastAsia" w:hAnsiTheme="minorEastAsia" w:cstheme="minorEastAsia"/>
          <w:sz w:val="24"/>
          <w:szCs w:val="24"/>
        </w:rPr>
      </w:pPr>
      <w:r>
        <w:rPr>
          <w:rFonts w:hint="eastAsia" w:asciiTheme="minorEastAsia" w:hAnsiTheme="minorEastAsia" w:cstheme="minorEastAsia"/>
          <w:sz w:val="24"/>
          <w:szCs w:val="24"/>
        </w:rPr>
        <w:t>出厂年月</w:t>
      </w:r>
    </w:p>
    <w:p>
      <w:pPr>
        <w:numPr>
          <w:ilvl w:val="0"/>
          <w:numId w:val="31"/>
        </w:numPr>
        <w:tabs>
          <w:tab w:val="left" w:pos="600"/>
        </w:tabs>
        <w:adjustRightInd w:val="0"/>
        <w:snapToGrid w:val="0"/>
        <w:spacing w:line="440" w:lineRule="exact"/>
        <w:ind w:left="0" w:leftChars="0" w:firstLine="0" w:firstLineChars="0"/>
        <w:rPr>
          <w:rFonts w:asciiTheme="minorEastAsia" w:hAnsiTheme="minorEastAsia" w:cstheme="minorEastAsia"/>
          <w:sz w:val="24"/>
          <w:szCs w:val="24"/>
        </w:rPr>
      </w:pPr>
      <w:r>
        <w:rPr>
          <w:rFonts w:hint="eastAsia" w:asciiTheme="minorEastAsia" w:hAnsiTheme="minorEastAsia" w:cstheme="minorEastAsia"/>
          <w:sz w:val="24"/>
          <w:szCs w:val="24"/>
        </w:rPr>
        <w:t>公称压力（MPa）</w:t>
      </w:r>
    </w:p>
    <w:p>
      <w:pPr>
        <w:numPr>
          <w:ilvl w:val="0"/>
          <w:numId w:val="31"/>
        </w:numPr>
        <w:tabs>
          <w:tab w:val="left" w:pos="600"/>
        </w:tabs>
        <w:adjustRightInd w:val="0"/>
        <w:snapToGrid w:val="0"/>
        <w:spacing w:line="440" w:lineRule="exact"/>
        <w:ind w:left="0" w:leftChars="0" w:firstLine="0" w:firstLineChars="0"/>
        <w:rPr>
          <w:rFonts w:asciiTheme="minorEastAsia" w:hAnsiTheme="minorEastAsia" w:cstheme="minorEastAsia"/>
          <w:sz w:val="24"/>
          <w:szCs w:val="24"/>
        </w:rPr>
      </w:pPr>
      <w:r>
        <w:rPr>
          <w:rFonts w:hint="eastAsia" w:asciiTheme="minorEastAsia" w:hAnsiTheme="minorEastAsia" w:cstheme="minorEastAsia"/>
          <w:sz w:val="24"/>
          <w:szCs w:val="24"/>
        </w:rPr>
        <w:t>适用温度（℃）介质</w:t>
      </w:r>
    </w:p>
    <w:p>
      <w:pPr>
        <w:numPr>
          <w:ilvl w:val="0"/>
          <w:numId w:val="31"/>
        </w:numPr>
        <w:tabs>
          <w:tab w:val="left" w:pos="600"/>
        </w:tabs>
        <w:adjustRightInd w:val="0"/>
        <w:snapToGrid w:val="0"/>
        <w:spacing w:line="440" w:lineRule="exact"/>
        <w:ind w:left="0" w:leftChars="0" w:firstLine="0" w:firstLineChars="0"/>
        <w:rPr>
          <w:rFonts w:asciiTheme="minorEastAsia" w:hAnsiTheme="minorEastAsia" w:cstheme="minorEastAsia"/>
          <w:sz w:val="24"/>
          <w:szCs w:val="24"/>
        </w:rPr>
      </w:pPr>
      <w:r>
        <w:rPr>
          <w:rFonts w:hint="eastAsia" w:asciiTheme="minorEastAsia" w:hAnsiTheme="minorEastAsia" w:cstheme="minorEastAsia"/>
          <w:sz w:val="24"/>
          <w:szCs w:val="24"/>
        </w:rPr>
        <w:t>阀门喉径（mm）</w:t>
      </w:r>
    </w:p>
    <w:p>
      <w:pPr>
        <w:numPr>
          <w:ilvl w:val="0"/>
          <w:numId w:val="31"/>
        </w:numPr>
        <w:tabs>
          <w:tab w:val="left" w:pos="600"/>
          <w:tab w:val="clear" w:pos="0"/>
        </w:tabs>
        <w:adjustRightInd w:val="0"/>
        <w:snapToGrid w:val="0"/>
        <w:spacing w:line="440" w:lineRule="exact"/>
        <w:ind w:left="0" w:leftChars="0" w:firstLine="0" w:firstLineChars="0"/>
        <w:rPr>
          <w:rFonts w:asciiTheme="minorEastAsia" w:hAnsiTheme="minorEastAsia" w:cstheme="minorEastAsia"/>
          <w:sz w:val="24"/>
          <w:szCs w:val="24"/>
        </w:rPr>
      </w:pPr>
      <w:r>
        <w:rPr>
          <w:rFonts w:hint="eastAsia" w:asciiTheme="minorEastAsia" w:hAnsiTheme="minorEastAsia" w:cstheme="minorEastAsia"/>
          <w:sz w:val="24"/>
          <w:szCs w:val="24"/>
        </w:rPr>
        <w:t>检验合格标记，监验标记</w:t>
      </w:r>
    </w:p>
    <w:p>
      <w:pPr>
        <w:numPr>
          <w:ilvl w:val="0"/>
          <w:numId w:val="24"/>
        </w:numPr>
        <w:tabs>
          <w:tab w:val="left" w:pos="600"/>
        </w:tabs>
        <w:adjustRightInd w:val="0"/>
        <w:snapToGrid w:val="0"/>
        <w:spacing w:line="440" w:lineRule="exact"/>
        <w:ind w:left="0" w:leftChars="0" w:firstLine="0" w:firstLineChars="0"/>
        <w:rPr>
          <w:rFonts w:hint="eastAsia" w:asciiTheme="minorEastAsia" w:hAnsiTheme="minorEastAsia" w:cstheme="minorEastAsia"/>
          <w:sz w:val="24"/>
          <w:szCs w:val="24"/>
        </w:rPr>
      </w:pPr>
      <w:r>
        <w:rPr>
          <w:rFonts w:hint="eastAsia" w:asciiTheme="minorEastAsia" w:hAnsiTheme="minorEastAsia" w:cstheme="minorEastAsia"/>
          <w:sz w:val="24"/>
          <w:szCs w:val="24"/>
        </w:rPr>
        <w:t>智能电动执行机构技术要求</w:t>
      </w:r>
    </w:p>
    <w:p>
      <w:pPr>
        <w:numPr>
          <w:ilvl w:val="0"/>
          <w:numId w:val="32"/>
        </w:numPr>
        <w:tabs>
          <w:tab w:val="left" w:pos="600"/>
        </w:tabs>
        <w:adjustRightInd w:val="0"/>
        <w:snapToGrid w:val="0"/>
        <w:spacing w:line="440" w:lineRule="exact"/>
        <w:ind w:left="0" w:leftChars="0" w:firstLine="0" w:firstLineChars="0"/>
        <w:rPr>
          <w:rFonts w:hint="eastAsia" w:asciiTheme="minorEastAsia" w:hAnsiTheme="minorEastAsia" w:cstheme="minorEastAsia"/>
          <w:sz w:val="24"/>
          <w:szCs w:val="24"/>
        </w:rPr>
      </w:pPr>
      <w:r>
        <w:rPr>
          <w:rFonts w:hint="eastAsia" w:asciiTheme="minorEastAsia" w:hAnsiTheme="minorEastAsia" w:cstheme="minorEastAsia"/>
          <w:sz w:val="24"/>
          <w:szCs w:val="24"/>
        </w:rPr>
        <w:t>技术参数：阀门配套电动执行机构采用智能型电动执行机构，</w:t>
      </w:r>
      <w:r>
        <w:rPr>
          <w:rFonts w:hint="eastAsia" w:asciiTheme="minorEastAsia" w:hAnsiTheme="minorEastAsia" w:cstheme="minorEastAsia"/>
          <w:sz w:val="24"/>
          <w:szCs w:val="24"/>
          <w:lang w:val="en-US" w:eastAsia="zh-CN"/>
        </w:rPr>
        <w:t>推荐</w:t>
      </w:r>
      <w:r>
        <w:rPr>
          <w:rFonts w:hint="eastAsia" w:asciiTheme="minorEastAsia" w:hAnsiTheme="minorEastAsia" w:cstheme="minorEastAsia"/>
          <w:sz w:val="24"/>
          <w:szCs w:val="24"/>
        </w:rPr>
        <w:t>品牌：南京科远、西贝、</w:t>
      </w:r>
      <w:r>
        <w:rPr>
          <w:rFonts w:hint="eastAsia" w:asciiTheme="minorEastAsia" w:hAnsiTheme="minorEastAsia" w:cstheme="minorEastAsia"/>
          <w:sz w:val="24"/>
          <w:szCs w:val="24"/>
          <w:lang w:val="en-US" w:eastAsia="zh-CN"/>
        </w:rPr>
        <w:t>英国</w:t>
      </w:r>
      <w:r>
        <w:rPr>
          <w:rFonts w:hint="eastAsia" w:asciiTheme="minorEastAsia" w:hAnsiTheme="minorEastAsia" w:cstheme="minorEastAsia"/>
          <w:sz w:val="24"/>
          <w:szCs w:val="24"/>
        </w:rPr>
        <w:t>罗托克、西博斯</w:t>
      </w:r>
      <w:r>
        <w:rPr>
          <w:rFonts w:hint="eastAsia" w:asciiTheme="minorEastAsia" w:hAnsiTheme="minorEastAsia" w:cstheme="minorEastAsia"/>
          <w:sz w:val="24"/>
          <w:szCs w:val="24"/>
          <w:lang w:val="en-US" w:eastAsia="zh-CN"/>
        </w:rPr>
        <w:t>等同质及以上产品</w:t>
      </w:r>
      <w:r>
        <w:rPr>
          <w:rFonts w:hint="eastAsia" w:asciiTheme="minorEastAsia" w:hAnsiTheme="minorEastAsia" w:cstheme="minorEastAsia"/>
          <w:sz w:val="24"/>
          <w:szCs w:val="24"/>
        </w:rPr>
        <w:t>。</w:t>
      </w:r>
    </w:p>
    <w:p>
      <w:pPr>
        <w:numPr>
          <w:ilvl w:val="0"/>
          <w:numId w:val="32"/>
        </w:numPr>
        <w:tabs>
          <w:tab w:val="left" w:pos="600"/>
        </w:tabs>
        <w:adjustRightInd w:val="0"/>
        <w:snapToGrid w:val="0"/>
        <w:spacing w:line="440" w:lineRule="exact"/>
        <w:ind w:left="0" w:leftChars="0" w:firstLine="0" w:firstLineChars="0"/>
        <w:rPr>
          <w:rFonts w:hint="eastAsia" w:asciiTheme="minorEastAsia" w:hAnsiTheme="minorEastAsia" w:cstheme="minorEastAsia"/>
          <w:sz w:val="24"/>
          <w:szCs w:val="24"/>
        </w:rPr>
      </w:pPr>
      <w:r>
        <w:rPr>
          <w:rFonts w:hint="eastAsia" w:asciiTheme="minorEastAsia" w:hAnsiTheme="minorEastAsia" w:cstheme="minorEastAsia"/>
          <w:sz w:val="24"/>
          <w:szCs w:val="24"/>
        </w:rPr>
        <w:t>阀位测量采用绝对编码器16为光电格雷码编码方式记录输出轴位移，电源：380VAC； IP67，使用温度：0~70度，线性度0.2%F.S，负载能力：0~700Ω，PSMFNS:自供电，触电电流小于8ma，PSMFDC：外部供电电压12V~36V，PSMFAC：外部供电，电压200VAC。</w:t>
      </w:r>
    </w:p>
    <w:p>
      <w:pPr>
        <w:numPr>
          <w:ilvl w:val="0"/>
          <w:numId w:val="32"/>
        </w:numPr>
        <w:tabs>
          <w:tab w:val="left" w:pos="600"/>
        </w:tabs>
        <w:adjustRightInd w:val="0"/>
        <w:snapToGrid w:val="0"/>
        <w:spacing w:line="440" w:lineRule="exact"/>
        <w:ind w:left="0" w:leftChars="0" w:firstLine="0" w:firstLineChars="0"/>
        <w:rPr>
          <w:rFonts w:hint="eastAsia" w:asciiTheme="minorEastAsia" w:hAnsiTheme="minorEastAsia" w:cstheme="minorEastAsia"/>
          <w:sz w:val="24"/>
          <w:szCs w:val="24"/>
        </w:rPr>
      </w:pPr>
      <w:r>
        <w:rPr>
          <w:rFonts w:hint="eastAsia" w:asciiTheme="minorEastAsia" w:hAnsiTheme="minorEastAsia" w:cstheme="minorEastAsia"/>
          <w:sz w:val="24"/>
          <w:szCs w:val="24"/>
        </w:rPr>
        <w:t>电动执行机构有非侵入式调整机构，能够对执行机构的零点、行程等参数进行设置。电动执行机构外壳应采用金属结构，整体防护等级IP67以上，密封盖应便于拆卸。</w:t>
      </w:r>
    </w:p>
    <w:p>
      <w:pPr>
        <w:numPr>
          <w:ilvl w:val="0"/>
          <w:numId w:val="32"/>
        </w:numPr>
        <w:tabs>
          <w:tab w:val="left" w:pos="600"/>
        </w:tabs>
        <w:adjustRightInd w:val="0"/>
        <w:snapToGrid w:val="0"/>
        <w:spacing w:line="440" w:lineRule="exact"/>
        <w:ind w:left="0" w:leftChars="0" w:firstLine="0" w:firstLineChars="0"/>
        <w:rPr>
          <w:rFonts w:hint="eastAsia" w:asciiTheme="minorEastAsia" w:hAnsiTheme="minorEastAsia" w:cstheme="minorEastAsia"/>
          <w:sz w:val="24"/>
          <w:szCs w:val="24"/>
        </w:rPr>
      </w:pPr>
      <w:r>
        <w:rPr>
          <w:rFonts w:hint="eastAsia" w:asciiTheme="minorEastAsia" w:hAnsiTheme="minorEastAsia" w:cstheme="minorEastAsia"/>
          <w:sz w:val="24"/>
          <w:szCs w:val="24"/>
        </w:rPr>
        <w:t>电动执行机构可带就地液晶指示仪，接线和端子应符合UL和ANSI标准，所有端子应有便于识别的固定标志。</w:t>
      </w:r>
    </w:p>
    <w:p>
      <w:pPr>
        <w:numPr>
          <w:ilvl w:val="0"/>
          <w:numId w:val="32"/>
        </w:numPr>
        <w:tabs>
          <w:tab w:val="left" w:pos="600"/>
        </w:tabs>
        <w:adjustRightInd w:val="0"/>
        <w:snapToGrid w:val="0"/>
        <w:spacing w:line="440" w:lineRule="exact"/>
        <w:ind w:left="0" w:leftChars="0" w:firstLine="0" w:firstLineChars="0"/>
        <w:rPr>
          <w:rFonts w:hint="eastAsia" w:asciiTheme="minorEastAsia" w:hAnsiTheme="minorEastAsia" w:cstheme="minorEastAsia"/>
          <w:sz w:val="24"/>
          <w:szCs w:val="24"/>
        </w:rPr>
      </w:pPr>
      <w:r>
        <w:rPr>
          <w:rFonts w:hint="eastAsia" w:asciiTheme="minorEastAsia" w:hAnsiTheme="minorEastAsia" w:cstheme="minorEastAsia"/>
          <w:sz w:val="24"/>
          <w:szCs w:val="24"/>
        </w:rPr>
        <w:t>电动执行机构应覆盖部分回转型和多回转型的所有力矩和行程范围，调节型执行机构应能接受4～20mA.DC调节指令信号，并提供4～20mA.DC位置反馈信号，并应带控制器或电子控制装置，能接受DCS系统提供的无源开关量指令（开/关）信号。</w:t>
      </w:r>
    </w:p>
    <w:p>
      <w:pPr>
        <w:numPr>
          <w:ilvl w:val="0"/>
          <w:numId w:val="32"/>
        </w:numPr>
        <w:tabs>
          <w:tab w:val="left" w:pos="600"/>
        </w:tabs>
        <w:adjustRightInd w:val="0"/>
        <w:snapToGrid w:val="0"/>
        <w:spacing w:line="440" w:lineRule="exact"/>
        <w:ind w:left="0" w:leftChars="0" w:firstLine="0" w:firstLineChars="0"/>
        <w:rPr>
          <w:rFonts w:hint="eastAsia" w:asciiTheme="minorEastAsia" w:hAnsiTheme="minorEastAsia" w:cstheme="minorEastAsia"/>
          <w:sz w:val="24"/>
          <w:szCs w:val="24"/>
        </w:rPr>
      </w:pPr>
      <w:r>
        <w:rPr>
          <w:rFonts w:hint="eastAsia" w:asciiTheme="minorEastAsia" w:hAnsiTheme="minorEastAsia" w:cstheme="minorEastAsia"/>
          <w:sz w:val="24"/>
          <w:szCs w:val="24"/>
        </w:rPr>
        <w:t>电动执行机构应有结构简单、性能可靠的双向力矩保护装置，力矩开关的力矩在一定范围内应能调整，在执行机构过力矩时，应能自动切断执行机构电源；同时执行机构应有可靠的制动机构，以防止电动机惰走，减小电动机启动电流。</w:t>
      </w:r>
    </w:p>
    <w:p>
      <w:pPr>
        <w:numPr>
          <w:ilvl w:val="0"/>
          <w:numId w:val="32"/>
        </w:numPr>
        <w:tabs>
          <w:tab w:val="left" w:pos="600"/>
        </w:tabs>
        <w:adjustRightInd w:val="0"/>
        <w:snapToGrid w:val="0"/>
        <w:spacing w:line="440" w:lineRule="exact"/>
        <w:ind w:left="0" w:leftChars="0" w:firstLine="0" w:firstLineChars="0"/>
        <w:rPr>
          <w:rFonts w:hint="eastAsia" w:asciiTheme="minorEastAsia" w:hAnsiTheme="minorEastAsia" w:cstheme="minorEastAsia"/>
          <w:sz w:val="24"/>
          <w:szCs w:val="24"/>
        </w:rPr>
      </w:pPr>
      <w:r>
        <w:rPr>
          <w:rFonts w:hint="eastAsia" w:asciiTheme="minorEastAsia" w:hAnsiTheme="minorEastAsia" w:cstheme="minorEastAsia"/>
          <w:sz w:val="24"/>
          <w:szCs w:val="24"/>
        </w:rPr>
        <w:t>电动执行机构行程的始、终端均应装设行程开关，对某些有特殊要求的执行机构还应装设中途开关，这些开关均为独立的二常开二常闭无源接点。接点容量至少为50V、150mA。所有电动执行机构均应配置手轮和手/自动切换机构，在电动操作脱开时，无论电机是转动或是静止，均能安全地切换至手轮操作位置。</w:t>
      </w:r>
    </w:p>
    <w:p>
      <w:pPr>
        <w:numPr>
          <w:ilvl w:val="0"/>
          <w:numId w:val="32"/>
        </w:numPr>
        <w:tabs>
          <w:tab w:val="left" w:pos="600"/>
        </w:tabs>
        <w:adjustRightInd w:val="0"/>
        <w:snapToGrid w:val="0"/>
        <w:spacing w:line="440" w:lineRule="exact"/>
        <w:ind w:left="0" w:leftChars="0" w:firstLine="0" w:firstLineChars="0"/>
        <w:rPr>
          <w:rFonts w:hint="eastAsia" w:asciiTheme="minorEastAsia" w:hAnsiTheme="minorEastAsia" w:cstheme="minorEastAsia"/>
          <w:sz w:val="24"/>
          <w:szCs w:val="24"/>
        </w:rPr>
      </w:pPr>
      <w:r>
        <w:rPr>
          <w:rFonts w:hint="eastAsia" w:asciiTheme="minorEastAsia" w:hAnsiTheme="minorEastAsia" w:cstheme="minorEastAsia"/>
          <w:sz w:val="24"/>
          <w:szCs w:val="24"/>
        </w:rPr>
        <w:t>电动执行机构应具有自动保位功能，在失去电源和控制信号的情况下，执行机构应能保持在失电失信号前的位置，并具有故障报警无源接点输出。</w:t>
      </w:r>
    </w:p>
    <w:p>
      <w:pPr>
        <w:numPr>
          <w:ilvl w:val="0"/>
          <w:numId w:val="32"/>
        </w:numPr>
        <w:tabs>
          <w:tab w:val="left" w:pos="600"/>
        </w:tabs>
        <w:adjustRightInd w:val="0"/>
        <w:snapToGrid w:val="0"/>
        <w:spacing w:line="440" w:lineRule="exact"/>
        <w:ind w:left="0" w:leftChars="0" w:firstLine="0" w:firstLineChars="0"/>
        <w:rPr>
          <w:rFonts w:hint="eastAsia" w:asciiTheme="minorEastAsia" w:hAnsiTheme="minorEastAsia" w:cstheme="minorEastAsia"/>
          <w:sz w:val="24"/>
          <w:szCs w:val="24"/>
        </w:rPr>
      </w:pPr>
      <w:r>
        <w:rPr>
          <w:rFonts w:hint="eastAsia" w:asciiTheme="minorEastAsia" w:hAnsiTheme="minorEastAsia" w:cstheme="minorEastAsia"/>
          <w:sz w:val="24"/>
          <w:szCs w:val="24"/>
        </w:rPr>
        <w:t>电动执行机构应具有强制开关功能，无论执行机构处于何种工作状态，一旦接到强制开关指令，必须快速完成强制开关，强制开关指令为无源接点（对某些执行机构既要能完成强制开又要能完成强制关）。</w:t>
      </w:r>
    </w:p>
    <w:p>
      <w:pPr>
        <w:numPr>
          <w:ilvl w:val="0"/>
          <w:numId w:val="32"/>
        </w:numPr>
        <w:tabs>
          <w:tab w:val="left" w:pos="600"/>
        </w:tabs>
        <w:adjustRightInd w:val="0"/>
        <w:snapToGrid w:val="0"/>
        <w:spacing w:line="440" w:lineRule="exact"/>
        <w:ind w:left="0" w:leftChars="0" w:firstLine="0" w:firstLineChars="0"/>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rPr>
        <w:t>报价方负责阀门与执行机构的组装、一体化调试到位，安装送电后即可操控，且负责指导接线送电调试</w:t>
      </w:r>
      <w:r>
        <w:rPr>
          <w:rFonts w:hint="eastAsia" w:asciiTheme="minorEastAsia" w:hAnsiTheme="minorEastAsia" w:cstheme="minorEastAsia"/>
          <w:sz w:val="24"/>
          <w:szCs w:val="24"/>
          <w:lang w:eastAsia="zh-CN"/>
        </w:rPr>
        <w:t>。</w:t>
      </w:r>
    </w:p>
    <w:p>
      <w:pPr>
        <w:numPr>
          <w:ilvl w:val="0"/>
          <w:numId w:val="24"/>
        </w:numPr>
        <w:tabs>
          <w:tab w:val="left" w:pos="600"/>
        </w:tabs>
        <w:adjustRightInd w:val="0"/>
        <w:snapToGrid w:val="0"/>
        <w:spacing w:line="440" w:lineRule="exact"/>
        <w:ind w:left="0" w:leftChars="0" w:firstLine="0" w:firstLineChars="0"/>
        <w:rPr>
          <w:rFonts w:hint="eastAsia" w:asciiTheme="minorEastAsia" w:hAnsiTheme="minorEastAsia" w:cstheme="minorEastAsia"/>
          <w:sz w:val="24"/>
          <w:szCs w:val="24"/>
        </w:rPr>
      </w:pPr>
      <w:r>
        <w:rPr>
          <w:rFonts w:hint="eastAsia" w:asciiTheme="minorEastAsia" w:hAnsiTheme="minorEastAsia" w:cstheme="minorEastAsia"/>
          <w:sz w:val="24"/>
          <w:szCs w:val="24"/>
        </w:rPr>
        <w:t>包装标志</w:t>
      </w:r>
    </w:p>
    <w:p>
      <w:pPr>
        <w:numPr>
          <w:ilvl w:val="0"/>
          <w:numId w:val="33"/>
        </w:numPr>
        <w:tabs>
          <w:tab w:val="left" w:pos="600"/>
        </w:tabs>
        <w:adjustRightInd w:val="0"/>
        <w:snapToGrid w:val="0"/>
        <w:spacing w:line="440" w:lineRule="exact"/>
        <w:ind w:left="0" w:leftChars="0" w:firstLine="0" w:firstLineChars="0"/>
        <w:rPr>
          <w:rFonts w:hint="eastAsia" w:asciiTheme="minorEastAsia" w:hAnsiTheme="minorEastAsia" w:cstheme="minorEastAsia"/>
          <w:sz w:val="24"/>
          <w:szCs w:val="24"/>
        </w:rPr>
      </w:pPr>
      <w:r>
        <w:rPr>
          <w:rFonts w:hint="eastAsia" w:asciiTheme="minorEastAsia" w:hAnsiTheme="minorEastAsia" w:cstheme="minorEastAsia"/>
          <w:sz w:val="24"/>
          <w:szCs w:val="24"/>
        </w:rPr>
        <w:t>报价方所供设备的包装，都标明合同号、主要设备名称的标签。</w:t>
      </w:r>
    </w:p>
    <w:p>
      <w:pPr>
        <w:numPr>
          <w:ilvl w:val="0"/>
          <w:numId w:val="33"/>
        </w:numPr>
        <w:tabs>
          <w:tab w:val="left" w:pos="600"/>
        </w:tabs>
        <w:adjustRightInd w:val="0"/>
        <w:snapToGrid w:val="0"/>
        <w:spacing w:line="440" w:lineRule="exact"/>
        <w:ind w:left="0" w:leftChars="0" w:firstLine="0" w:firstLineChars="0"/>
        <w:rPr>
          <w:rFonts w:hint="eastAsia" w:asciiTheme="minorEastAsia" w:hAnsiTheme="minorEastAsia" w:cstheme="minorEastAsia"/>
          <w:sz w:val="24"/>
          <w:szCs w:val="24"/>
        </w:rPr>
      </w:pPr>
      <w:r>
        <w:rPr>
          <w:rFonts w:hint="eastAsia" w:asciiTheme="minorEastAsia" w:hAnsiTheme="minorEastAsia" w:cstheme="minorEastAsia"/>
          <w:sz w:val="24"/>
          <w:szCs w:val="24"/>
        </w:rPr>
        <w:t>对装箱供给的设备，应在箱子的两面注明如下内容：</w:t>
      </w:r>
    </w:p>
    <w:p>
      <w:pPr>
        <w:numPr>
          <w:ilvl w:val="0"/>
          <w:numId w:val="33"/>
        </w:numPr>
        <w:tabs>
          <w:tab w:val="left" w:pos="600"/>
        </w:tabs>
        <w:adjustRightInd w:val="0"/>
        <w:snapToGrid w:val="0"/>
        <w:spacing w:line="440" w:lineRule="exact"/>
        <w:ind w:left="0" w:leftChars="0" w:firstLine="0" w:firstLineChars="0"/>
        <w:rPr>
          <w:rFonts w:hint="eastAsia" w:asciiTheme="minorEastAsia" w:hAnsiTheme="minorEastAsia" w:cstheme="minorEastAsia"/>
          <w:sz w:val="24"/>
          <w:szCs w:val="24"/>
        </w:rPr>
      </w:pPr>
      <w:r>
        <w:rPr>
          <w:rFonts w:hint="eastAsia" w:asciiTheme="minorEastAsia" w:hAnsiTheme="minorEastAsia" w:cstheme="minorEastAsia"/>
          <w:sz w:val="24"/>
          <w:szCs w:val="24"/>
        </w:rPr>
        <w:t>合同号；装运标志</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目的港</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收货人代码</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设备名称和项目号</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箱号</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毛/净重</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外形尺寸</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长×宽×高。</w:t>
      </w:r>
    </w:p>
    <w:p>
      <w:pPr>
        <w:numPr>
          <w:ilvl w:val="0"/>
          <w:numId w:val="33"/>
        </w:numPr>
        <w:tabs>
          <w:tab w:val="left" w:pos="600"/>
        </w:tabs>
        <w:adjustRightInd w:val="0"/>
        <w:snapToGrid w:val="0"/>
        <w:spacing w:line="440" w:lineRule="exact"/>
        <w:ind w:left="0" w:leftChars="0" w:firstLine="0" w:firstLineChars="0"/>
        <w:rPr>
          <w:rFonts w:hint="eastAsia" w:asciiTheme="minorEastAsia" w:hAnsiTheme="minorEastAsia" w:cstheme="minorEastAsia"/>
          <w:sz w:val="24"/>
          <w:szCs w:val="24"/>
        </w:rPr>
      </w:pPr>
      <w:r>
        <w:rPr>
          <w:rFonts w:hint="eastAsia" w:asciiTheme="minorEastAsia" w:hAnsiTheme="minorEastAsia" w:cstheme="minorEastAsia"/>
          <w:sz w:val="24"/>
          <w:szCs w:val="24"/>
        </w:rPr>
        <w:t>运输作业标志（包括防潮、防震、放置位置方向、重心位置、绳索固定部位等）。</w:t>
      </w:r>
    </w:p>
    <w:p>
      <w:pPr>
        <w:numPr>
          <w:ilvl w:val="0"/>
          <w:numId w:val="33"/>
        </w:numPr>
        <w:tabs>
          <w:tab w:val="left" w:pos="600"/>
        </w:tabs>
        <w:adjustRightInd w:val="0"/>
        <w:snapToGrid w:val="0"/>
        <w:spacing w:line="440" w:lineRule="exact"/>
        <w:ind w:left="0" w:leftChars="0" w:firstLine="0" w:firstLineChars="0"/>
        <w:rPr>
          <w:rFonts w:hint="eastAsia" w:asciiTheme="minorEastAsia" w:hAnsiTheme="minorEastAsia" w:cstheme="minorEastAsia"/>
          <w:sz w:val="24"/>
          <w:szCs w:val="24"/>
        </w:rPr>
      </w:pPr>
      <w:r>
        <w:rPr>
          <w:rFonts w:hint="eastAsia" w:asciiTheme="minorEastAsia" w:hAnsiTheme="minorEastAsia" w:cstheme="minorEastAsia"/>
          <w:sz w:val="24"/>
          <w:szCs w:val="24"/>
        </w:rPr>
        <w:t>设备存放和保管要求等级。</w:t>
      </w:r>
    </w:p>
    <w:p>
      <w:pPr>
        <w:numPr>
          <w:ilvl w:val="0"/>
          <w:numId w:val="33"/>
        </w:numPr>
        <w:tabs>
          <w:tab w:val="left" w:pos="600"/>
        </w:tabs>
        <w:adjustRightInd w:val="0"/>
        <w:snapToGrid w:val="0"/>
        <w:spacing w:line="440" w:lineRule="exact"/>
        <w:ind w:left="0" w:leftChars="0" w:firstLine="0" w:firstLineChars="0"/>
        <w:rPr>
          <w:rFonts w:hint="eastAsia" w:asciiTheme="minorEastAsia" w:hAnsiTheme="minorEastAsia" w:cstheme="minorEastAsia"/>
          <w:sz w:val="24"/>
          <w:szCs w:val="24"/>
        </w:rPr>
      </w:pPr>
      <w:r>
        <w:rPr>
          <w:rFonts w:hint="eastAsia" w:asciiTheme="minorEastAsia" w:hAnsiTheme="minorEastAsia" w:cstheme="minorEastAsia"/>
          <w:sz w:val="24"/>
          <w:szCs w:val="24"/>
        </w:rPr>
        <w:t>备品备件、专用工具应单独包装和发运，并特别注明。</w:t>
      </w:r>
    </w:p>
    <w:p>
      <w:pPr>
        <w:numPr>
          <w:ilvl w:val="0"/>
          <w:numId w:val="24"/>
        </w:numPr>
        <w:tabs>
          <w:tab w:val="left" w:pos="600"/>
        </w:tabs>
        <w:adjustRightInd w:val="0"/>
        <w:snapToGrid w:val="0"/>
        <w:spacing w:line="440" w:lineRule="exact"/>
        <w:ind w:left="0" w:leftChars="0" w:firstLine="0" w:firstLineChars="0"/>
        <w:rPr>
          <w:rFonts w:hint="eastAsia" w:asciiTheme="minorEastAsia" w:hAnsiTheme="minorEastAsia" w:cstheme="minorEastAsia"/>
          <w:sz w:val="24"/>
          <w:szCs w:val="24"/>
        </w:rPr>
      </w:pPr>
      <w:r>
        <w:rPr>
          <w:rFonts w:hint="eastAsia" w:asciiTheme="minorEastAsia" w:hAnsiTheme="minorEastAsia" w:cstheme="minorEastAsia"/>
          <w:sz w:val="24"/>
          <w:szCs w:val="24"/>
        </w:rPr>
        <w:t>运输</w:t>
      </w:r>
    </w:p>
    <w:p>
      <w:pPr>
        <w:tabs>
          <w:tab w:val="left" w:pos="0"/>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ab/>
      </w:r>
      <w:r>
        <w:rPr>
          <w:rFonts w:hint="eastAsia" w:asciiTheme="minorEastAsia" w:hAnsiTheme="minorEastAsia" w:cstheme="minorEastAsia"/>
          <w:sz w:val="24"/>
          <w:szCs w:val="24"/>
        </w:rPr>
        <w:t>部件重量和体积的限值应按有关运输方式的规定。</w:t>
      </w:r>
    </w:p>
    <w:bookmarkEnd w:id="116"/>
    <w:bookmarkEnd w:id="117"/>
    <w:p>
      <w:pPr>
        <w:pStyle w:val="3"/>
        <w:numPr>
          <w:ilvl w:val="0"/>
          <w:numId w:val="21"/>
        </w:numPr>
        <w:tabs>
          <w:tab w:val="left" w:pos="420"/>
        </w:tabs>
        <w:adjustRightInd w:val="0"/>
        <w:snapToGrid w:val="0"/>
        <w:spacing w:before="0" w:after="0" w:line="440" w:lineRule="exact"/>
        <w:rPr>
          <w:rFonts w:hint="eastAsia" w:asciiTheme="minorEastAsia" w:hAnsiTheme="minorEastAsia" w:cstheme="minorEastAsia"/>
          <w:sz w:val="24"/>
          <w:szCs w:val="24"/>
        </w:rPr>
      </w:pPr>
      <w:r>
        <w:rPr>
          <w:rFonts w:hint="eastAsia" w:asciiTheme="minorEastAsia" w:hAnsiTheme="minorEastAsia" w:cstheme="minorEastAsia"/>
          <w:sz w:val="24"/>
          <w:szCs w:val="24"/>
          <w:lang w:val="en-US" w:eastAsia="zh-CN"/>
        </w:rPr>
        <w:t>制造、检验和试验</w:t>
      </w:r>
    </w:p>
    <w:p>
      <w:pPr>
        <w:numPr>
          <w:ilvl w:val="0"/>
          <w:numId w:val="34"/>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阀门设计、制造等方面应遵照最新规范和标准</w:t>
      </w:r>
      <w:r>
        <w:rPr>
          <w:rFonts w:hint="eastAsia" w:asciiTheme="minorEastAsia" w:hAnsiTheme="minorEastAsia" w:cstheme="minorEastAsia"/>
          <w:sz w:val="24"/>
          <w:szCs w:val="24"/>
          <w:lang w:eastAsia="zh-CN"/>
        </w:rPr>
        <w:t>。</w:t>
      </w:r>
    </w:p>
    <w:p>
      <w:pPr>
        <w:numPr>
          <w:ilvl w:val="0"/>
          <w:numId w:val="34"/>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上述标准和规定仅提出了基本的技术要求。如果报价方提出了更经济合理的设计、材料、制造工艺等，同时又能使报价方提供的设备达到本技术规范之要求，并确保安全连续运行，在征得采购方同意后，报价方可以不全部使用上述标准和规定。</w:t>
      </w:r>
    </w:p>
    <w:p>
      <w:pPr>
        <w:numPr>
          <w:ilvl w:val="0"/>
          <w:numId w:val="34"/>
        </w:numPr>
        <w:tabs>
          <w:tab w:val="left" w:pos="600"/>
        </w:tabs>
        <w:adjustRightInd w:val="0"/>
        <w:snapToGrid w:val="0"/>
        <w:spacing w:line="440" w:lineRule="exact"/>
        <w:rPr>
          <w:rFonts w:hint="eastAsia" w:asciiTheme="minorEastAsia" w:hAnsiTheme="minorEastAsia" w:cstheme="minorEastAsia"/>
          <w:sz w:val="24"/>
          <w:szCs w:val="24"/>
        </w:rPr>
      </w:pPr>
      <w:r>
        <w:rPr>
          <w:rFonts w:hint="eastAsia" w:asciiTheme="minorEastAsia" w:hAnsiTheme="minorEastAsia" w:cstheme="minorEastAsia"/>
          <w:sz w:val="24"/>
          <w:szCs w:val="24"/>
        </w:rPr>
        <w:t>报价方应向采购方提供一份质量管理和质量保证文件及使用的有关标准和规定的目录清单。</w:t>
      </w:r>
    </w:p>
    <w:p>
      <w:pPr>
        <w:numPr>
          <w:ilvl w:val="0"/>
          <w:numId w:val="34"/>
        </w:numPr>
        <w:tabs>
          <w:tab w:val="left" w:pos="600"/>
        </w:tabs>
        <w:adjustRightInd w:val="0"/>
        <w:snapToGrid w:val="0"/>
        <w:spacing w:line="440" w:lineRule="exact"/>
        <w:rPr>
          <w:rFonts w:hint="eastAsia" w:asciiTheme="minorEastAsia" w:hAnsiTheme="minorEastAsia" w:cstheme="minorEastAsia"/>
          <w:sz w:val="24"/>
          <w:szCs w:val="24"/>
        </w:rPr>
      </w:pPr>
      <w:r>
        <w:rPr>
          <w:rFonts w:hint="eastAsia" w:asciiTheme="minorEastAsia" w:hAnsiTheme="minorEastAsia" w:cstheme="minorEastAsia"/>
          <w:sz w:val="24"/>
          <w:szCs w:val="24"/>
        </w:rPr>
        <w:t>对设备材料有影响的一切制造、加工工序、试验和检查操作，须接受报价方或采购方检查员的监督。</w:t>
      </w:r>
    </w:p>
    <w:p>
      <w:pPr>
        <w:numPr>
          <w:ilvl w:val="0"/>
          <w:numId w:val="34"/>
        </w:numPr>
        <w:tabs>
          <w:tab w:val="left" w:pos="600"/>
        </w:tabs>
        <w:adjustRightInd w:val="0"/>
        <w:snapToGrid w:val="0"/>
        <w:spacing w:line="440" w:lineRule="exact"/>
        <w:rPr>
          <w:rFonts w:hint="eastAsia" w:asciiTheme="minorEastAsia" w:hAnsiTheme="minorEastAsia" w:cstheme="minorEastAsia"/>
          <w:sz w:val="24"/>
          <w:szCs w:val="24"/>
        </w:rPr>
      </w:pPr>
      <w:r>
        <w:rPr>
          <w:rFonts w:hint="eastAsia" w:asciiTheme="minorEastAsia" w:hAnsiTheme="minorEastAsia" w:cstheme="minorEastAsia"/>
          <w:sz w:val="24"/>
          <w:szCs w:val="24"/>
        </w:rPr>
        <w:t>对于设备在制造、加工和试验过程中不符合规程或标准的所有偏差，均应有文件记录，并且由报价方及时进行处理。</w:t>
      </w:r>
    </w:p>
    <w:p>
      <w:pPr>
        <w:numPr>
          <w:ilvl w:val="0"/>
          <w:numId w:val="34"/>
        </w:numPr>
        <w:tabs>
          <w:tab w:val="left" w:pos="600"/>
        </w:tabs>
        <w:adjustRightInd w:val="0"/>
        <w:snapToGrid w:val="0"/>
        <w:spacing w:line="440" w:lineRule="exact"/>
        <w:rPr>
          <w:rFonts w:hint="eastAsia" w:asciiTheme="minorEastAsia" w:hAnsiTheme="minorEastAsia" w:cstheme="minorEastAsia"/>
          <w:sz w:val="24"/>
          <w:szCs w:val="24"/>
        </w:rPr>
      </w:pPr>
      <w:r>
        <w:rPr>
          <w:rFonts w:hint="eastAsia" w:asciiTheme="minorEastAsia" w:hAnsiTheme="minorEastAsia" w:cstheme="minorEastAsia"/>
          <w:sz w:val="24"/>
          <w:szCs w:val="24"/>
        </w:rPr>
        <w:t>报价方应为采购方提供双方直接参与制造和试验期间的注意事项，该事项在双方共同工作五天前提出。</w:t>
      </w:r>
    </w:p>
    <w:p>
      <w:pPr>
        <w:numPr>
          <w:ilvl w:val="0"/>
          <w:numId w:val="34"/>
        </w:numPr>
        <w:tabs>
          <w:tab w:val="left" w:pos="600"/>
        </w:tabs>
        <w:adjustRightInd w:val="0"/>
        <w:snapToGrid w:val="0"/>
        <w:spacing w:line="440" w:lineRule="exact"/>
        <w:rPr>
          <w:rFonts w:hint="eastAsia" w:asciiTheme="minorEastAsia" w:hAnsiTheme="minorEastAsia" w:cstheme="minorEastAsia"/>
          <w:sz w:val="24"/>
          <w:szCs w:val="24"/>
        </w:rPr>
      </w:pPr>
      <w:r>
        <w:rPr>
          <w:rFonts w:hint="eastAsia" w:asciiTheme="minorEastAsia" w:hAnsiTheme="minorEastAsia" w:cstheme="minorEastAsia"/>
          <w:sz w:val="24"/>
          <w:szCs w:val="24"/>
        </w:rPr>
        <w:t>报价方提供有关质量保证的各项文件。这些文件包括：</w:t>
      </w:r>
    </w:p>
    <w:p>
      <w:pPr>
        <w:numPr>
          <w:ilvl w:val="0"/>
          <w:numId w:val="35"/>
        </w:numPr>
        <w:tabs>
          <w:tab w:val="left" w:pos="600"/>
        </w:tabs>
        <w:adjustRightInd w:val="0"/>
        <w:snapToGrid w:val="0"/>
        <w:spacing w:line="440" w:lineRule="exact"/>
        <w:ind w:left="0" w:leftChars="0" w:firstLine="0" w:firstLineChars="0"/>
        <w:rPr>
          <w:rFonts w:asciiTheme="minorEastAsia" w:hAnsiTheme="minorEastAsia" w:cstheme="minorEastAsia"/>
          <w:sz w:val="24"/>
          <w:szCs w:val="24"/>
        </w:rPr>
      </w:pPr>
      <w:r>
        <w:rPr>
          <w:rFonts w:hint="eastAsia" w:asciiTheme="minorEastAsia" w:hAnsiTheme="minorEastAsia" w:cstheme="minorEastAsia"/>
          <w:sz w:val="24"/>
          <w:szCs w:val="24"/>
        </w:rPr>
        <w:t>质量管理体系认证证书。</w:t>
      </w:r>
    </w:p>
    <w:p>
      <w:pPr>
        <w:numPr>
          <w:ilvl w:val="0"/>
          <w:numId w:val="35"/>
        </w:numPr>
        <w:tabs>
          <w:tab w:val="left" w:pos="600"/>
        </w:tabs>
        <w:adjustRightInd w:val="0"/>
        <w:snapToGrid w:val="0"/>
        <w:spacing w:line="440" w:lineRule="exact"/>
        <w:ind w:left="0" w:leftChars="0" w:firstLine="0" w:firstLineChars="0"/>
        <w:rPr>
          <w:rFonts w:asciiTheme="minorEastAsia" w:hAnsiTheme="minorEastAsia" w:cstheme="minorEastAsia"/>
          <w:sz w:val="24"/>
          <w:szCs w:val="24"/>
        </w:rPr>
      </w:pPr>
      <w:r>
        <w:rPr>
          <w:rFonts w:hint="eastAsia" w:asciiTheme="minorEastAsia" w:hAnsiTheme="minorEastAsia" w:cstheme="minorEastAsia"/>
          <w:sz w:val="24"/>
          <w:szCs w:val="24"/>
        </w:rPr>
        <w:t>压力管道元件制造许可证</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若有涉及</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w:t>
      </w:r>
    </w:p>
    <w:p>
      <w:pPr>
        <w:numPr>
          <w:ilvl w:val="0"/>
          <w:numId w:val="35"/>
        </w:numPr>
        <w:tabs>
          <w:tab w:val="left" w:pos="600"/>
        </w:tabs>
        <w:adjustRightInd w:val="0"/>
        <w:snapToGrid w:val="0"/>
        <w:spacing w:line="440" w:lineRule="exact"/>
        <w:ind w:left="0" w:leftChars="0" w:firstLine="0" w:firstLineChars="0"/>
        <w:rPr>
          <w:rFonts w:asciiTheme="minorEastAsia" w:hAnsiTheme="minorEastAsia" w:cstheme="minorEastAsia"/>
          <w:sz w:val="24"/>
          <w:szCs w:val="24"/>
        </w:rPr>
      </w:pPr>
      <w:r>
        <w:rPr>
          <w:rFonts w:hint="eastAsia" w:asciiTheme="minorEastAsia" w:hAnsiTheme="minorEastAsia" w:cstheme="minorEastAsia"/>
          <w:sz w:val="24"/>
          <w:szCs w:val="24"/>
        </w:rPr>
        <w:t>产品检验合格证书（包括主要外购件）：表示全部设备和材料的供应是根据技术规范的要求和认可的误差。</w:t>
      </w:r>
    </w:p>
    <w:p>
      <w:pPr>
        <w:numPr>
          <w:ilvl w:val="0"/>
          <w:numId w:val="35"/>
        </w:numPr>
        <w:tabs>
          <w:tab w:val="left" w:pos="600"/>
        </w:tabs>
        <w:adjustRightInd w:val="0"/>
        <w:snapToGrid w:val="0"/>
        <w:spacing w:line="440" w:lineRule="exact"/>
        <w:ind w:left="0" w:leftChars="0" w:firstLine="0" w:firstLineChars="0"/>
        <w:rPr>
          <w:rFonts w:hint="eastAsia" w:asciiTheme="minorEastAsia" w:hAnsiTheme="minorEastAsia" w:cstheme="minorEastAsia"/>
          <w:sz w:val="24"/>
          <w:szCs w:val="24"/>
        </w:rPr>
      </w:pPr>
      <w:r>
        <w:rPr>
          <w:rFonts w:hint="eastAsia" w:asciiTheme="minorEastAsia" w:hAnsiTheme="minorEastAsia" w:cstheme="minorEastAsia"/>
          <w:sz w:val="24"/>
          <w:szCs w:val="24"/>
        </w:rPr>
        <w:t>材料检验合格证书。</w:t>
      </w:r>
    </w:p>
    <w:p>
      <w:pPr>
        <w:numPr>
          <w:ilvl w:val="0"/>
          <w:numId w:val="35"/>
        </w:numPr>
        <w:tabs>
          <w:tab w:val="left" w:pos="600"/>
        </w:tabs>
        <w:adjustRightInd w:val="0"/>
        <w:snapToGrid w:val="0"/>
        <w:spacing w:line="440" w:lineRule="exact"/>
        <w:ind w:left="0" w:leftChars="0" w:firstLine="0" w:firstLineChars="0"/>
        <w:rPr>
          <w:rFonts w:hint="eastAsia" w:asciiTheme="minorEastAsia" w:hAnsiTheme="minorEastAsia" w:cstheme="minorEastAsia"/>
          <w:sz w:val="24"/>
          <w:szCs w:val="24"/>
        </w:rPr>
      </w:pPr>
      <w:r>
        <w:rPr>
          <w:rFonts w:hint="eastAsia" w:asciiTheme="minorEastAsia" w:hAnsiTheme="minorEastAsia" w:cstheme="minorEastAsia"/>
          <w:sz w:val="24"/>
          <w:szCs w:val="24"/>
        </w:rPr>
        <w:t>水压试验报告。</w:t>
      </w:r>
    </w:p>
    <w:p>
      <w:pPr>
        <w:numPr>
          <w:ilvl w:val="0"/>
          <w:numId w:val="35"/>
        </w:numPr>
        <w:tabs>
          <w:tab w:val="left" w:pos="600"/>
        </w:tabs>
        <w:adjustRightInd w:val="0"/>
        <w:snapToGrid w:val="0"/>
        <w:spacing w:line="440" w:lineRule="exact"/>
        <w:ind w:left="0" w:leftChars="0" w:firstLine="0" w:firstLineChars="0"/>
        <w:rPr>
          <w:rFonts w:hint="eastAsia" w:asciiTheme="minorEastAsia" w:hAnsiTheme="minorEastAsia" w:cstheme="minorEastAsia"/>
          <w:sz w:val="24"/>
          <w:szCs w:val="24"/>
        </w:rPr>
      </w:pPr>
      <w:r>
        <w:rPr>
          <w:rFonts w:hint="eastAsia" w:asciiTheme="minorEastAsia" w:hAnsiTheme="minorEastAsia" w:cstheme="minorEastAsia"/>
          <w:sz w:val="24"/>
          <w:szCs w:val="24"/>
        </w:rPr>
        <w:t>设备和材料加工制造中误差的文件记录和认可记录。</w:t>
      </w:r>
    </w:p>
    <w:p>
      <w:pPr>
        <w:numPr>
          <w:ilvl w:val="0"/>
          <w:numId w:val="34"/>
        </w:numPr>
        <w:tabs>
          <w:tab w:val="left" w:pos="600"/>
        </w:tabs>
        <w:adjustRightInd w:val="0"/>
        <w:snapToGrid w:val="0"/>
        <w:spacing w:line="440" w:lineRule="exact"/>
        <w:rPr>
          <w:rFonts w:hint="eastAsia" w:asciiTheme="minorEastAsia" w:hAnsiTheme="minorEastAsia" w:cstheme="minorEastAsia"/>
          <w:sz w:val="24"/>
          <w:szCs w:val="24"/>
        </w:rPr>
      </w:pPr>
      <w:r>
        <w:rPr>
          <w:rFonts w:hint="eastAsia" w:asciiTheme="minorEastAsia" w:hAnsiTheme="minorEastAsia" w:cstheme="minorEastAsia"/>
          <w:sz w:val="24"/>
          <w:szCs w:val="24"/>
        </w:rPr>
        <w:t>产品使用说明书。</w:t>
      </w:r>
    </w:p>
    <w:p>
      <w:pPr>
        <w:numPr>
          <w:ilvl w:val="0"/>
          <w:numId w:val="36"/>
        </w:numPr>
        <w:tabs>
          <w:tab w:val="left" w:pos="600"/>
        </w:tabs>
        <w:adjustRightInd w:val="0"/>
        <w:snapToGrid w:val="0"/>
        <w:spacing w:line="440" w:lineRule="exact"/>
        <w:ind w:left="0" w:leftChars="0" w:firstLine="0" w:firstLineChars="0"/>
        <w:rPr>
          <w:rFonts w:asciiTheme="minorEastAsia" w:hAnsiTheme="minorEastAsia" w:cstheme="minorEastAsia"/>
          <w:sz w:val="24"/>
          <w:szCs w:val="24"/>
        </w:rPr>
      </w:pPr>
      <w:r>
        <w:rPr>
          <w:rFonts w:hint="eastAsia" w:asciiTheme="minorEastAsia" w:hAnsiTheme="minorEastAsia" w:cstheme="minorEastAsia"/>
          <w:sz w:val="24"/>
          <w:szCs w:val="24"/>
        </w:rPr>
        <w:t>在图纸设计和材料选择方面应准确无误，加工工艺无任何缺陷和差错，技术文件及图纸要清晰、正确、完整，能满足安装、</w:t>
      </w:r>
      <w:r>
        <w:rPr>
          <w:rFonts w:hint="eastAsia" w:asciiTheme="minorEastAsia" w:hAnsiTheme="minorEastAsia" w:cstheme="minorEastAsia"/>
          <w:sz w:val="24"/>
          <w:szCs w:val="24"/>
          <w:lang w:val="en-US" w:eastAsia="zh-CN"/>
        </w:rPr>
        <w:t>启</w:t>
      </w:r>
      <w:r>
        <w:rPr>
          <w:rFonts w:hint="eastAsia" w:asciiTheme="minorEastAsia" w:hAnsiTheme="minorEastAsia" w:cstheme="minorEastAsia"/>
          <w:sz w:val="24"/>
          <w:szCs w:val="24"/>
        </w:rPr>
        <w:t>停、正常运行和维护的要求。</w:t>
      </w:r>
    </w:p>
    <w:p>
      <w:pPr>
        <w:numPr>
          <w:ilvl w:val="0"/>
          <w:numId w:val="36"/>
        </w:numPr>
        <w:tabs>
          <w:tab w:val="left" w:pos="600"/>
        </w:tabs>
        <w:adjustRightInd w:val="0"/>
        <w:snapToGrid w:val="0"/>
        <w:spacing w:line="440" w:lineRule="exact"/>
        <w:ind w:left="0" w:leftChars="0" w:firstLine="0" w:firstLineChars="0"/>
        <w:rPr>
          <w:rFonts w:asciiTheme="minorEastAsia" w:hAnsiTheme="minorEastAsia" w:cstheme="minorEastAsia"/>
          <w:sz w:val="24"/>
          <w:szCs w:val="24"/>
        </w:rPr>
      </w:pPr>
      <w:r>
        <w:rPr>
          <w:rFonts w:hint="eastAsia" w:asciiTheme="minorEastAsia" w:hAnsiTheme="minorEastAsia" w:cstheme="minorEastAsia"/>
          <w:sz w:val="24"/>
          <w:szCs w:val="24"/>
        </w:rPr>
        <w:t>阀门在施工现场应不需解体就可投入使用，如因阀门质量原因需要在施工现场解体维修，报价方应承担一切费用。</w:t>
      </w:r>
    </w:p>
    <w:p>
      <w:pPr>
        <w:numPr>
          <w:ilvl w:val="0"/>
          <w:numId w:val="34"/>
        </w:numPr>
        <w:tabs>
          <w:tab w:val="left" w:pos="600"/>
        </w:tabs>
        <w:adjustRightInd w:val="0"/>
        <w:snapToGrid w:val="0"/>
        <w:spacing w:line="440" w:lineRule="exact"/>
        <w:rPr>
          <w:rFonts w:hint="eastAsia" w:asciiTheme="minorEastAsia" w:hAnsiTheme="minorEastAsia" w:cstheme="minorEastAsia"/>
          <w:sz w:val="24"/>
          <w:szCs w:val="24"/>
        </w:rPr>
      </w:pPr>
      <w:r>
        <w:rPr>
          <w:rFonts w:hint="eastAsia" w:asciiTheme="minorEastAsia" w:hAnsiTheme="minorEastAsia" w:cstheme="minorEastAsia"/>
          <w:sz w:val="24"/>
          <w:szCs w:val="24"/>
        </w:rPr>
        <w:t>试验</w:t>
      </w:r>
    </w:p>
    <w:p>
      <w:pPr>
        <w:numPr>
          <w:ilvl w:val="0"/>
          <w:numId w:val="37"/>
        </w:numPr>
        <w:tabs>
          <w:tab w:val="left" w:pos="600"/>
        </w:tabs>
        <w:adjustRightInd w:val="0"/>
        <w:snapToGrid w:val="0"/>
        <w:spacing w:line="440" w:lineRule="exact"/>
        <w:ind w:left="0" w:leftChars="0" w:firstLine="0" w:firstLineChars="0"/>
        <w:rPr>
          <w:rFonts w:asciiTheme="minorEastAsia" w:hAnsiTheme="minorEastAsia" w:cstheme="minorEastAsia"/>
          <w:sz w:val="24"/>
          <w:szCs w:val="24"/>
        </w:rPr>
      </w:pPr>
      <w:bookmarkStart w:id="118" w:name="_Toc515678558"/>
      <w:bookmarkStart w:id="119" w:name="_Toc515678527"/>
      <w:r>
        <w:rPr>
          <w:rFonts w:hint="eastAsia" w:asciiTheme="minorEastAsia" w:hAnsiTheme="minorEastAsia" w:cstheme="minorEastAsia"/>
          <w:sz w:val="24"/>
          <w:szCs w:val="24"/>
        </w:rPr>
        <w:t>阀门应按照适用的规范和标准，应进行耐压强力试验、密封性能试验、气电信号控制行程试验等。报价方应说明工厂试验所用的标准、试验项目、试验压力、试验方式、试验验收标准以及对可能出现的问题所采取的措施。阀门作水压试验时，试验压力应为系统最大压力的1.5倍，持续时间为不少于20分钟。</w:t>
      </w:r>
    </w:p>
    <w:p>
      <w:pPr>
        <w:numPr>
          <w:ilvl w:val="0"/>
          <w:numId w:val="37"/>
        </w:numPr>
        <w:tabs>
          <w:tab w:val="left" w:pos="600"/>
        </w:tabs>
        <w:adjustRightInd w:val="0"/>
        <w:snapToGrid w:val="0"/>
        <w:spacing w:line="440" w:lineRule="exact"/>
        <w:ind w:left="0" w:leftChars="0" w:firstLine="0" w:firstLineChars="0"/>
        <w:rPr>
          <w:rFonts w:asciiTheme="minorEastAsia" w:hAnsiTheme="minorEastAsia" w:cstheme="minorEastAsia"/>
          <w:sz w:val="24"/>
          <w:szCs w:val="24"/>
        </w:rPr>
      </w:pPr>
      <w:r>
        <w:rPr>
          <w:rFonts w:hint="eastAsia" w:asciiTheme="minorEastAsia" w:hAnsiTheme="minorEastAsia" w:cstheme="minorEastAsia"/>
          <w:sz w:val="24"/>
          <w:szCs w:val="24"/>
        </w:rPr>
        <w:t>电动阀门应在最大工作压力下循环</w:t>
      </w:r>
      <w:r>
        <w:rPr>
          <w:rFonts w:hint="eastAsia" w:asciiTheme="minorEastAsia" w:hAnsiTheme="minorEastAsia" w:cstheme="minorEastAsia"/>
          <w:sz w:val="24"/>
          <w:szCs w:val="24"/>
          <w:lang w:val="en-US" w:eastAsia="zh-CN"/>
        </w:rPr>
        <w:t>启闭，</w:t>
      </w:r>
      <w:r>
        <w:rPr>
          <w:rFonts w:hint="eastAsia" w:asciiTheme="minorEastAsia" w:hAnsiTheme="minorEastAsia" w:cstheme="minorEastAsia"/>
          <w:sz w:val="24"/>
          <w:szCs w:val="24"/>
        </w:rPr>
        <w:t>以确保阀门在规定时间内能平稳可靠地操作。</w:t>
      </w:r>
    </w:p>
    <w:p>
      <w:pPr>
        <w:numPr>
          <w:ilvl w:val="0"/>
          <w:numId w:val="37"/>
        </w:numPr>
        <w:tabs>
          <w:tab w:val="left" w:pos="600"/>
        </w:tabs>
        <w:adjustRightInd w:val="0"/>
        <w:snapToGrid w:val="0"/>
        <w:spacing w:line="440" w:lineRule="exact"/>
        <w:ind w:left="0" w:leftChars="0" w:firstLine="0" w:firstLineChars="0"/>
        <w:rPr>
          <w:rFonts w:asciiTheme="minorEastAsia" w:hAnsiTheme="minorEastAsia" w:cstheme="minorEastAsia"/>
          <w:sz w:val="24"/>
          <w:szCs w:val="24"/>
        </w:rPr>
      </w:pPr>
      <w:r>
        <w:rPr>
          <w:rFonts w:hint="eastAsia" w:asciiTheme="minorEastAsia" w:hAnsiTheme="minorEastAsia" w:cstheme="minorEastAsia"/>
          <w:sz w:val="24"/>
          <w:szCs w:val="24"/>
        </w:rPr>
        <w:t>阀门发现有缺陷的应进行修理并重新试验，钢板和铸件上的补焊应该按照原焊缝的检验方法和同样的质量标准进行检查。</w:t>
      </w:r>
    </w:p>
    <w:p>
      <w:pPr>
        <w:numPr>
          <w:ilvl w:val="0"/>
          <w:numId w:val="37"/>
        </w:numPr>
        <w:tabs>
          <w:tab w:val="left" w:pos="600"/>
        </w:tabs>
        <w:adjustRightInd w:val="0"/>
        <w:snapToGrid w:val="0"/>
        <w:spacing w:line="440" w:lineRule="exact"/>
        <w:ind w:left="0" w:leftChars="0" w:firstLine="0" w:firstLineChars="0"/>
        <w:rPr>
          <w:rFonts w:asciiTheme="minorEastAsia" w:hAnsiTheme="minorEastAsia" w:cstheme="minorEastAsia"/>
          <w:sz w:val="24"/>
          <w:szCs w:val="24"/>
        </w:rPr>
      </w:pPr>
      <w:r>
        <w:rPr>
          <w:rFonts w:hint="eastAsia" w:asciiTheme="minorEastAsia" w:hAnsiTheme="minorEastAsia" w:cstheme="minorEastAsia"/>
          <w:sz w:val="24"/>
          <w:szCs w:val="24"/>
        </w:rPr>
        <w:t>对不锈钢零件(如果有)的水压试验，其使用水的氯化物含量不超过100ppm</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对其它阀门的水压试验可用生活水。</w:t>
      </w:r>
    </w:p>
    <w:p>
      <w:pPr>
        <w:numPr>
          <w:ilvl w:val="0"/>
          <w:numId w:val="37"/>
        </w:numPr>
        <w:tabs>
          <w:tab w:val="left" w:pos="600"/>
        </w:tabs>
        <w:adjustRightInd w:val="0"/>
        <w:snapToGrid w:val="0"/>
        <w:spacing w:line="440" w:lineRule="exact"/>
        <w:ind w:left="0" w:leftChars="0" w:firstLine="0" w:firstLineChars="0"/>
        <w:rPr>
          <w:rFonts w:asciiTheme="minorEastAsia" w:hAnsiTheme="minorEastAsia" w:cstheme="minorEastAsia"/>
          <w:sz w:val="24"/>
          <w:szCs w:val="24"/>
        </w:rPr>
      </w:pPr>
      <w:r>
        <w:rPr>
          <w:rFonts w:hint="eastAsia" w:asciiTheme="minorEastAsia" w:hAnsiTheme="minorEastAsia" w:cstheme="minorEastAsia"/>
          <w:sz w:val="24"/>
          <w:szCs w:val="24"/>
        </w:rPr>
        <w:t>如果阀门进行补焊修理，则需重做相关试验。</w:t>
      </w:r>
    </w:p>
    <w:p>
      <w:pPr>
        <w:numPr>
          <w:ilvl w:val="0"/>
          <w:numId w:val="34"/>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如采购方参加产品出厂验收，报价方提供必要的便利。</w:t>
      </w:r>
    </w:p>
    <w:p>
      <w:pPr>
        <w:numPr>
          <w:ilvl w:val="0"/>
          <w:numId w:val="34"/>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报价方在保证产品质量的前提下，必须满足采购方对供货周期的要求。</w:t>
      </w:r>
    </w:p>
    <w:p>
      <w:pPr>
        <w:pStyle w:val="3"/>
        <w:numPr>
          <w:ilvl w:val="0"/>
          <w:numId w:val="21"/>
        </w:numPr>
        <w:tabs>
          <w:tab w:val="left" w:pos="420"/>
        </w:tabs>
        <w:adjustRightInd w:val="0"/>
        <w:snapToGrid w:val="0"/>
        <w:spacing w:before="0" w:after="0" w:line="440" w:lineRule="exact"/>
        <w:rPr>
          <w:rFonts w:hint="default" w:asciiTheme="minorEastAsia" w:hAnsiTheme="minorEastAsia" w:cstheme="minorEastAsia"/>
          <w:sz w:val="24"/>
          <w:szCs w:val="24"/>
          <w:lang w:val="en-US"/>
        </w:rPr>
      </w:pPr>
      <w:bookmarkStart w:id="120" w:name="_Toc2453"/>
      <w:bookmarkStart w:id="121" w:name="_Toc5701"/>
      <w:bookmarkStart w:id="122" w:name="_Toc66848114"/>
      <w:bookmarkStart w:id="123" w:name="_Toc20011"/>
      <w:bookmarkStart w:id="124" w:name="_Toc381625548"/>
      <w:bookmarkStart w:id="125" w:name="_Toc7199"/>
      <w:bookmarkStart w:id="126" w:name="_Toc18362"/>
      <w:r>
        <w:rPr>
          <w:rFonts w:hint="eastAsia" w:asciiTheme="minorEastAsia" w:hAnsiTheme="minorEastAsia" w:cstheme="minorEastAsia"/>
          <w:sz w:val="24"/>
          <w:szCs w:val="24"/>
        </w:rPr>
        <w:t>技术</w:t>
      </w:r>
      <w:bookmarkEnd w:id="118"/>
      <w:bookmarkEnd w:id="119"/>
      <w:bookmarkEnd w:id="120"/>
      <w:bookmarkEnd w:id="121"/>
      <w:bookmarkEnd w:id="122"/>
      <w:bookmarkEnd w:id="123"/>
      <w:bookmarkEnd w:id="124"/>
      <w:bookmarkEnd w:id="125"/>
      <w:bookmarkEnd w:id="126"/>
      <w:r>
        <w:rPr>
          <w:rFonts w:hint="eastAsia" w:asciiTheme="minorEastAsia" w:hAnsiTheme="minorEastAsia" w:cstheme="minorEastAsia"/>
          <w:sz w:val="24"/>
          <w:szCs w:val="24"/>
          <w:lang w:val="en-US" w:eastAsia="zh-CN"/>
        </w:rPr>
        <w:t>资料</w:t>
      </w:r>
    </w:p>
    <w:p>
      <w:pPr>
        <w:numPr>
          <w:ilvl w:val="0"/>
          <w:numId w:val="38"/>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一般要求</w:t>
      </w:r>
    </w:p>
    <w:p>
      <w:pPr>
        <w:numPr>
          <w:ilvl w:val="0"/>
          <w:numId w:val="39"/>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资料均使用国际单位制，语言为中文，所有非中文资料均视为无效资料。电子版文字资料采用WORD格式，图纸资料采用AUTOCAD 格式。</w:t>
      </w:r>
    </w:p>
    <w:p>
      <w:pPr>
        <w:numPr>
          <w:ilvl w:val="0"/>
          <w:numId w:val="39"/>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设备</w:t>
      </w:r>
      <w:r>
        <w:rPr>
          <w:rFonts w:hint="eastAsia" w:asciiTheme="minorEastAsia" w:hAnsiTheme="minorEastAsia" w:cstheme="minorEastAsia"/>
          <w:sz w:val="24"/>
          <w:szCs w:val="24"/>
        </w:rPr>
        <w:t>资料的提交</w:t>
      </w:r>
      <w:r>
        <w:rPr>
          <w:rFonts w:hint="eastAsia" w:asciiTheme="minorEastAsia" w:hAnsiTheme="minorEastAsia" w:cstheme="minorEastAsia"/>
          <w:sz w:val="24"/>
          <w:szCs w:val="24"/>
          <w:lang w:val="en-US" w:eastAsia="zh-CN"/>
        </w:rPr>
        <w:t>应</w:t>
      </w:r>
      <w:r>
        <w:rPr>
          <w:rFonts w:hint="eastAsia" w:asciiTheme="minorEastAsia" w:hAnsiTheme="minorEastAsia" w:cstheme="minorEastAsia"/>
          <w:sz w:val="24"/>
          <w:szCs w:val="24"/>
        </w:rPr>
        <w:t>及时、充分</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资料的组织结构清晰、逻辑性强。资料内容正确、准确、一致、清晰完整，满足</w:t>
      </w:r>
      <w:r>
        <w:rPr>
          <w:rFonts w:hint="eastAsia" w:asciiTheme="minorEastAsia" w:hAnsiTheme="minorEastAsia" w:cstheme="minorEastAsia"/>
          <w:sz w:val="24"/>
          <w:szCs w:val="24"/>
          <w:lang w:val="en-US" w:eastAsia="zh-CN"/>
        </w:rPr>
        <w:t>使用及维护</w:t>
      </w:r>
      <w:r>
        <w:rPr>
          <w:rFonts w:hint="eastAsia" w:asciiTheme="minorEastAsia" w:hAnsiTheme="minorEastAsia" w:cstheme="minorEastAsia"/>
          <w:sz w:val="24"/>
          <w:szCs w:val="24"/>
        </w:rPr>
        <w:t>要求。</w:t>
      </w:r>
    </w:p>
    <w:p>
      <w:pPr>
        <w:numPr>
          <w:ilvl w:val="0"/>
          <w:numId w:val="39"/>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报价方所提交的技术资料内容至少应包括本规范中所要求的。如采购方需要本规范以外的资料，报价方应及时无偿地提供。</w:t>
      </w:r>
    </w:p>
    <w:p>
      <w:pPr>
        <w:numPr>
          <w:ilvl w:val="0"/>
          <w:numId w:val="38"/>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成交供应商在供货时提交如下资料：</w:t>
      </w:r>
    </w:p>
    <w:p>
      <w:pPr>
        <w:numPr>
          <w:ilvl w:val="0"/>
          <w:numId w:val="40"/>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阀门说明书。</w:t>
      </w:r>
    </w:p>
    <w:p>
      <w:pPr>
        <w:numPr>
          <w:ilvl w:val="0"/>
          <w:numId w:val="40"/>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阀门及执行机构外形安装尺寸图、阀门所需的电源等级及容量等有关图纸和资料。</w:t>
      </w:r>
    </w:p>
    <w:p>
      <w:pPr>
        <w:numPr>
          <w:ilvl w:val="0"/>
          <w:numId w:val="40"/>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为安装和检修用的易损件清单。</w:t>
      </w:r>
    </w:p>
    <w:p>
      <w:pPr>
        <w:numPr>
          <w:ilvl w:val="0"/>
          <w:numId w:val="38"/>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报价方在产品完成后，向采购方提供以下随机技术文件：</w:t>
      </w:r>
    </w:p>
    <w:p>
      <w:pPr>
        <w:numPr>
          <w:ilvl w:val="0"/>
          <w:numId w:val="41"/>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阀门的质量证明文件(包括原材料合格证和各种试验、检验合格证等)  </w:t>
      </w:r>
    </w:p>
    <w:p>
      <w:pPr>
        <w:numPr>
          <w:ilvl w:val="0"/>
          <w:numId w:val="41"/>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6.2中的文件。</w:t>
      </w:r>
    </w:p>
    <w:p>
      <w:pPr>
        <w:numPr>
          <w:ilvl w:val="0"/>
          <w:numId w:val="41"/>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装箱清单、合格证及其它必须的文件。</w:t>
      </w:r>
    </w:p>
    <w:p>
      <w:pPr>
        <w:numPr>
          <w:ilvl w:val="0"/>
          <w:numId w:val="41"/>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阀门原产地证明。 </w:t>
      </w:r>
    </w:p>
    <w:p>
      <w:pPr>
        <w:pStyle w:val="3"/>
        <w:numPr>
          <w:ilvl w:val="0"/>
          <w:numId w:val="21"/>
        </w:numPr>
        <w:tabs>
          <w:tab w:val="left" w:pos="420"/>
        </w:tabs>
        <w:adjustRightInd w:val="0"/>
        <w:snapToGrid w:val="0"/>
        <w:spacing w:before="0" w:after="0" w:line="440" w:lineRule="exact"/>
        <w:rPr>
          <w:rFonts w:hint="eastAsia" w:asciiTheme="minorEastAsia" w:hAnsiTheme="minorEastAsia" w:cstheme="minorEastAsia"/>
          <w:sz w:val="24"/>
          <w:szCs w:val="24"/>
          <w:lang w:val="en-US" w:eastAsia="zh-CN"/>
        </w:rPr>
      </w:pPr>
      <w:bookmarkStart w:id="127" w:name="_Toc15700"/>
      <w:r>
        <w:rPr>
          <w:rFonts w:hint="eastAsia" w:asciiTheme="minorEastAsia" w:hAnsiTheme="minorEastAsia" w:cstheme="minorEastAsia"/>
          <w:sz w:val="24"/>
          <w:szCs w:val="24"/>
          <w:lang w:val="en-US" w:eastAsia="zh-CN"/>
        </w:rPr>
        <w:t>服务要求</w:t>
      </w:r>
      <w:bookmarkEnd w:id="127"/>
    </w:p>
    <w:p>
      <w:pPr>
        <w:numPr>
          <w:ilvl w:val="0"/>
          <w:numId w:val="42"/>
        </w:numPr>
        <w:tabs>
          <w:tab w:val="left" w:pos="600"/>
        </w:tabs>
        <w:adjustRightInd w:val="0"/>
        <w:snapToGrid w:val="0"/>
        <w:spacing w:line="440" w:lineRule="exact"/>
        <w:rPr>
          <w:rFonts w:hint="eastAsia" w:asciiTheme="minorEastAsia" w:hAnsiTheme="minorEastAsia" w:cstheme="minorEastAsia"/>
          <w:sz w:val="24"/>
          <w:szCs w:val="24"/>
        </w:rPr>
      </w:pPr>
      <w:r>
        <w:rPr>
          <w:rFonts w:hint="eastAsia" w:asciiTheme="minorEastAsia" w:hAnsiTheme="minorEastAsia" w:cstheme="minorEastAsia"/>
          <w:sz w:val="24"/>
          <w:szCs w:val="24"/>
        </w:rPr>
        <w:t>要求送货上门，供货时产品合格证或质量证明、说明书等必备资料齐全。如果物流或快递送货，丢失缺少损坏自理，采购方概不负责；成交供应商必须将货物送达指定地点并与采购方共同参与验收，否则由采购方单方验收，成交供应商须承认采购方验收结果。</w:t>
      </w:r>
    </w:p>
    <w:p>
      <w:pPr>
        <w:numPr>
          <w:ilvl w:val="0"/>
          <w:numId w:val="42"/>
        </w:numPr>
        <w:tabs>
          <w:tab w:val="left" w:pos="600"/>
        </w:tabs>
        <w:adjustRightInd w:val="0"/>
        <w:snapToGrid w:val="0"/>
        <w:spacing w:line="440" w:lineRule="exact"/>
        <w:rPr>
          <w:rFonts w:hint="eastAsia" w:asciiTheme="minorEastAsia" w:hAnsiTheme="minorEastAsia" w:cstheme="minorEastAsia"/>
          <w:sz w:val="24"/>
          <w:szCs w:val="24"/>
        </w:rPr>
      </w:pPr>
      <w:r>
        <w:rPr>
          <w:rFonts w:hint="eastAsia" w:asciiTheme="minorEastAsia" w:hAnsiTheme="minorEastAsia" w:cstheme="minorEastAsia"/>
          <w:sz w:val="24"/>
          <w:szCs w:val="24"/>
        </w:rPr>
        <w:t>报价方应保证所提供的产品为正规、合格原厂产品（有关技术要求详见阀门采购技术规范书），一经发现报价方提供假冒伪劣产品，将纳入公司供应商黑名单，不得参与本公司采购报价活动。</w:t>
      </w:r>
    </w:p>
    <w:p>
      <w:pPr>
        <w:numPr>
          <w:ilvl w:val="0"/>
          <w:numId w:val="42"/>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在需要时报价方应派代表到现场指导安装、调试和试运行，并负责解决阀门在安装、调试、试运行中发现的制造质量及性能指标等有关问题。</w:t>
      </w:r>
    </w:p>
    <w:p>
      <w:pPr>
        <w:numPr>
          <w:ilvl w:val="0"/>
          <w:numId w:val="42"/>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在质保期内的设计、制造等问题由报价方负责无偿修理或更换，并24h内响应到厂解决。</w:t>
      </w:r>
    </w:p>
    <w:p>
      <w:pPr>
        <w:numPr>
          <w:ilvl w:val="0"/>
          <w:numId w:val="42"/>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在合同产品的寿命期内，对非报价方责任造成的设备损坏，报价方有义务提供配件和修理；如属设备设计或制造缺陷引起的损坏，报价方应为采购方及时修理，并承担全部费用。报价方应长期以优惠价格向采购方提供备品备件。</w:t>
      </w:r>
    </w:p>
    <w:p>
      <w:pPr>
        <w:numPr>
          <w:ilvl w:val="0"/>
          <w:numId w:val="42"/>
        </w:numPr>
        <w:tabs>
          <w:tab w:val="left" w:pos="600"/>
        </w:tabs>
        <w:adjustRightInd w:val="0"/>
        <w:snapToGrid w:val="0"/>
        <w:spacing w:line="440" w:lineRule="exact"/>
        <w:rPr>
          <w:rFonts w:hint="eastAsia" w:asciiTheme="minorEastAsia" w:hAnsiTheme="minorEastAsia" w:cstheme="minorEastAsia"/>
          <w:sz w:val="24"/>
          <w:szCs w:val="24"/>
        </w:rPr>
      </w:pPr>
      <w:r>
        <w:rPr>
          <w:rFonts w:hint="eastAsia" w:asciiTheme="minorEastAsia" w:hAnsiTheme="minorEastAsia" w:cstheme="minorEastAsia"/>
          <w:sz w:val="24"/>
          <w:szCs w:val="24"/>
        </w:rPr>
        <w:t>报价后无故放弃履行供货的供应商将纳入我司供应商黑名单，取消其参加本公司采购活动资格。</w:t>
      </w:r>
    </w:p>
    <w:p>
      <w:pPr>
        <w:numPr>
          <w:ilvl w:val="0"/>
          <w:numId w:val="42"/>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本技术规范书将在供货合同签订时作为技术协议签订，与合同具有同等的法律效力。</w:t>
      </w:r>
    </w:p>
    <w:p>
      <w:pPr>
        <w:pStyle w:val="3"/>
        <w:numPr>
          <w:ilvl w:val="0"/>
          <w:numId w:val="21"/>
        </w:numPr>
        <w:tabs>
          <w:tab w:val="left" w:pos="420"/>
        </w:tabs>
        <w:adjustRightInd w:val="0"/>
        <w:snapToGrid w:val="0"/>
        <w:spacing w:before="0" w:after="0" w:line="440" w:lineRule="exact"/>
        <w:rPr>
          <w:rFonts w:hint="eastAsia" w:asciiTheme="minorEastAsia" w:hAnsiTheme="minorEastAsia" w:cstheme="minorEastAsia"/>
          <w:sz w:val="24"/>
          <w:szCs w:val="24"/>
          <w:lang w:val="en-US" w:eastAsia="zh-CN"/>
        </w:rPr>
      </w:pPr>
      <w:bookmarkStart w:id="128" w:name="_Toc14914_WPSOffice_Level2"/>
      <w:bookmarkStart w:id="129" w:name="_Toc23236_WPSOffice_Level2"/>
      <w:bookmarkStart w:id="130" w:name="_Toc14976_WPSOffice_Level2"/>
      <w:bookmarkStart w:id="131" w:name="_Toc14998"/>
      <w:bookmarkStart w:id="132" w:name="_Toc6361_WPSOffice_Level2"/>
      <w:r>
        <w:rPr>
          <w:rFonts w:hint="eastAsia" w:asciiTheme="minorEastAsia" w:hAnsiTheme="minorEastAsia" w:cstheme="minorEastAsia"/>
          <w:sz w:val="24"/>
          <w:szCs w:val="24"/>
          <w:lang w:val="en-US" w:eastAsia="zh-CN"/>
        </w:rPr>
        <w:t>质量保证和售后服务要求</w:t>
      </w:r>
      <w:bookmarkEnd w:id="128"/>
      <w:bookmarkEnd w:id="129"/>
      <w:bookmarkEnd w:id="130"/>
      <w:bookmarkEnd w:id="131"/>
      <w:bookmarkEnd w:id="132"/>
    </w:p>
    <w:p>
      <w:pPr>
        <w:numPr>
          <w:ilvl w:val="0"/>
          <w:numId w:val="43"/>
        </w:numPr>
        <w:tabs>
          <w:tab w:val="left" w:pos="600"/>
        </w:tabs>
        <w:adjustRightInd w:val="0"/>
        <w:snapToGrid w:val="0"/>
        <w:spacing w:line="440" w:lineRule="exact"/>
        <w:ind w:left="0" w:leftChars="0" w:firstLine="0" w:firstLineChars="0"/>
        <w:rPr>
          <w:rFonts w:hint="eastAsia" w:asciiTheme="minorEastAsia" w:hAnsiTheme="minorEastAsia" w:cstheme="minorEastAsia"/>
          <w:sz w:val="24"/>
          <w:szCs w:val="24"/>
        </w:rPr>
      </w:pPr>
      <w:r>
        <w:rPr>
          <w:rFonts w:hint="eastAsia" w:asciiTheme="minorEastAsia" w:hAnsiTheme="minorEastAsia" w:cstheme="minorEastAsia"/>
          <w:sz w:val="24"/>
          <w:szCs w:val="24"/>
        </w:rPr>
        <w:t>质量要求：报价方必须保证提供原</w:t>
      </w:r>
      <w:r>
        <w:rPr>
          <w:rFonts w:hint="eastAsia" w:asciiTheme="minorEastAsia" w:hAnsiTheme="minorEastAsia" w:cstheme="minorEastAsia"/>
          <w:sz w:val="24"/>
          <w:szCs w:val="24"/>
          <w:lang w:val="en-US" w:eastAsia="zh-CN"/>
        </w:rPr>
        <w:t>厂制造、全新未使用过的产品，不存在任何缺陷。</w:t>
      </w:r>
      <w:r>
        <w:rPr>
          <w:rFonts w:hint="eastAsia" w:asciiTheme="minorEastAsia" w:hAnsiTheme="minorEastAsia" w:cstheme="minorEastAsia"/>
          <w:sz w:val="24"/>
          <w:szCs w:val="24"/>
        </w:rPr>
        <w:t>不得用假冒及伪劣材料替代；如出现上述质量问题，采购方有权退货；如造成损失的，采购方可要求成交供应商给予赔偿。</w:t>
      </w:r>
    </w:p>
    <w:p>
      <w:pPr>
        <w:numPr>
          <w:ilvl w:val="0"/>
          <w:numId w:val="43"/>
        </w:numPr>
        <w:tabs>
          <w:tab w:val="left" w:pos="600"/>
        </w:tabs>
        <w:adjustRightInd w:val="0"/>
        <w:snapToGrid w:val="0"/>
        <w:spacing w:line="440" w:lineRule="exact"/>
        <w:ind w:left="0" w:leftChars="0" w:firstLine="0" w:firstLineChars="0"/>
        <w:rPr>
          <w:rFonts w:hint="eastAsia" w:asciiTheme="minorEastAsia" w:hAnsiTheme="minorEastAsia" w:cstheme="minorEastAsia"/>
          <w:sz w:val="24"/>
          <w:szCs w:val="24"/>
        </w:rPr>
      </w:pPr>
      <w:r>
        <w:rPr>
          <w:rFonts w:hint="eastAsia" w:asciiTheme="minorEastAsia" w:hAnsiTheme="minorEastAsia" w:cstheme="minorEastAsia"/>
          <w:sz w:val="24"/>
          <w:szCs w:val="24"/>
        </w:rPr>
        <w:t>交货时需提供产品出厂合格证、产品技术参数、产品出厂检测报告、制造厂家授权书或原厂家对该产品的证明函等。</w:t>
      </w:r>
    </w:p>
    <w:p>
      <w:pPr>
        <w:numPr>
          <w:ilvl w:val="0"/>
          <w:numId w:val="43"/>
        </w:numPr>
        <w:tabs>
          <w:tab w:val="left" w:pos="600"/>
        </w:tabs>
        <w:adjustRightInd w:val="0"/>
        <w:snapToGrid w:val="0"/>
        <w:spacing w:line="440" w:lineRule="exact"/>
        <w:ind w:left="0" w:leftChars="0" w:firstLine="0" w:firstLineChars="0"/>
        <w:rPr>
          <w:rFonts w:hint="eastAsia" w:asciiTheme="minorEastAsia" w:hAnsiTheme="minorEastAsia" w:cstheme="minorEastAsia"/>
          <w:sz w:val="24"/>
          <w:szCs w:val="24"/>
        </w:rPr>
      </w:pPr>
      <w:r>
        <w:rPr>
          <w:rFonts w:hint="eastAsia" w:asciiTheme="minorEastAsia" w:hAnsiTheme="minorEastAsia" w:cstheme="minorEastAsia"/>
          <w:sz w:val="24"/>
          <w:szCs w:val="24"/>
        </w:rPr>
        <w:t>质量保证期</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全部</w:t>
      </w:r>
      <w:r>
        <w:rPr>
          <w:rFonts w:hint="eastAsia" w:asciiTheme="minorEastAsia" w:hAnsiTheme="minorEastAsia" w:cstheme="minorEastAsia"/>
          <w:sz w:val="24"/>
          <w:szCs w:val="24"/>
        </w:rPr>
        <w:t>货物交货后18个月或投入运行后12个月，以先到为准。在质保期内发生问题，成交供应商必须在24小时内到达现场，</w:t>
      </w:r>
      <w:r>
        <w:rPr>
          <w:rFonts w:hint="eastAsia" w:asciiTheme="minorEastAsia" w:hAnsiTheme="minorEastAsia" w:cstheme="minorEastAsia"/>
          <w:sz w:val="24"/>
          <w:szCs w:val="24"/>
          <w:lang w:val="en-US" w:eastAsia="zh-CN"/>
        </w:rPr>
        <w:t>并进行维修或更换</w:t>
      </w:r>
      <w:r>
        <w:rPr>
          <w:rFonts w:hint="eastAsia" w:asciiTheme="minorEastAsia" w:hAnsiTheme="minorEastAsia" w:cstheme="minorEastAsia"/>
          <w:sz w:val="24"/>
          <w:szCs w:val="24"/>
        </w:rPr>
        <w:t>，其费用由成交供应商自行负责。若报价方未履行质保义务的，采购方有权</w:t>
      </w:r>
      <w:r>
        <w:rPr>
          <w:rFonts w:hint="eastAsia" w:asciiTheme="minorEastAsia" w:hAnsiTheme="minorEastAsia" w:cstheme="minorEastAsia"/>
          <w:sz w:val="24"/>
          <w:szCs w:val="24"/>
          <w:lang w:val="en-US" w:eastAsia="zh-CN"/>
        </w:rPr>
        <w:t>委托</w:t>
      </w:r>
      <w:r>
        <w:rPr>
          <w:rFonts w:hint="eastAsia" w:asciiTheme="minorEastAsia" w:hAnsiTheme="minorEastAsia" w:cstheme="minorEastAsia"/>
          <w:sz w:val="24"/>
          <w:szCs w:val="24"/>
        </w:rPr>
        <w:t>第三方进行维修</w:t>
      </w:r>
      <w:r>
        <w:rPr>
          <w:rFonts w:hint="eastAsia" w:asciiTheme="minorEastAsia" w:hAnsiTheme="minorEastAsia" w:cstheme="minorEastAsia"/>
          <w:sz w:val="24"/>
          <w:szCs w:val="24"/>
          <w:lang w:val="en-US" w:eastAsia="zh-CN"/>
        </w:rPr>
        <w:t>或另行购买</w:t>
      </w:r>
      <w:r>
        <w:rPr>
          <w:rFonts w:hint="eastAsia" w:asciiTheme="minorEastAsia" w:hAnsiTheme="minorEastAsia" w:cstheme="minorEastAsia"/>
          <w:sz w:val="24"/>
          <w:szCs w:val="24"/>
        </w:rPr>
        <w:t>，由此</w:t>
      </w:r>
      <w:r>
        <w:rPr>
          <w:rFonts w:hint="eastAsia" w:asciiTheme="minorEastAsia" w:hAnsiTheme="minorEastAsia" w:cstheme="minorEastAsia"/>
          <w:sz w:val="24"/>
          <w:szCs w:val="24"/>
          <w:lang w:val="en-US" w:eastAsia="zh-CN"/>
        </w:rPr>
        <w:t>产</w:t>
      </w:r>
      <w:r>
        <w:rPr>
          <w:rFonts w:hint="eastAsia" w:asciiTheme="minorEastAsia" w:hAnsiTheme="minorEastAsia" w:cstheme="minorEastAsia"/>
          <w:sz w:val="24"/>
          <w:szCs w:val="24"/>
        </w:rPr>
        <w:t>生的费用和损失由</w:t>
      </w:r>
      <w:r>
        <w:rPr>
          <w:rFonts w:hint="eastAsia" w:asciiTheme="minorEastAsia" w:hAnsiTheme="minorEastAsia" w:cstheme="minorEastAsia"/>
          <w:sz w:val="24"/>
          <w:szCs w:val="24"/>
          <w:lang w:val="en-US" w:eastAsia="zh-CN"/>
        </w:rPr>
        <w:t>成交供应商</w:t>
      </w:r>
      <w:r>
        <w:rPr>
          <w:rFonts w:hint="eastAsia" w:asciiTheme="minorEastAsia" w:hAnsiTheme="minorEastAsia" w:cstheme="minorEastAsia"/>
          <w:sz w:val="24"/>
          <w:szCs w:val="24"/>
        </w:rPr>
        <w:t>承担。</w:t>
      </w:r>
    </w:p>
    <w:p>
      <w:pPr>
        <w:pStyle w:val="3"/>
        <w:numPr>
          <w:ilvl w:val="0"/>
          <w:numId w:val="21"/>
        </w:numPr>
        <w:tabs>
          <w:tab w:val="left" w:pos="420"/>
        </w:tabs>
        <w:adjustRightInd w:val="0"/>
        <w:snapToGrid w:val="0"/>
        <w:spacing w:before="0" w:after="0" w:line="440" w:lineRule="exact"/>
        <w:rPr>
          <w:rFonts w:hint="eastAsia" w:asciiTheme="minorEastAsia" w:hAnsiTheme="minorEastAsia" w:cstheme="minorEastAsia"/>
          <w:sz w:val="24"/>
          <w:szCs w:val="24"/>
          <w:lang w:val="en-US" w:eastAsia="zh-CN"/>
        </w:rPr>
      </w:pPr>
      <w:bookmarkStart w:id="133" w:name="_Toc31179_WPSOffice_Level2"/>
      <w:bookmarkStart w:id="134" w:name="_Toc23683"/>
      <w:bookmarkStart w:id="135" w:name="_Toc25406_WPSOffice_Level2"/>
      <w:bookmarkStart w:id="136" w:name="_Toc10691_WPSOffice_Level2"/>
      <w:bookmarkStart w:id="137" w:name="_Toc19504_WPSOffice_Level2"/>
      <w:r>
        <w:rPr>
          <w:rFonts w:hint="eastAsia" w:asciiTheme="minorEastAsia" w:hAnsiTheme="minorEastAsia" w:cstheme="minorEastAsia"/>
          <w:sz w:val="24"/>
          <w:szCs w:val="24"/>
          <w:lang w:val="en-US" w:eastAsia="zh-CN"/>
        </w:rPr>
        <w:t>报价方式及付款方式</w:t>
      </w:r>
      <w:bookmarkEnd w:id="133"/>
      <w:bookmarkEnd w:id="134"/>
      <w:bookmarkEnd w:id="135"/>
      <w:bookmarkEnd w:id="136"/>
      <w:bookmarkEnd w:id="137"/>
    </w:p>
    <w:p>
      <w:pPr>
        <w:numPr>
          <w:ilvl w:val="0"/>
          <w:numId w:val="44"/>
        </w:numPr>
        <w:kinsoku w:val="0"/>
        <w:overflowPunct w:val="0"/>
        <w:adjustRightInd/>
        <w:spacing w:line="400" w:lineRule="atLeast"/>
        <w:ind w:left="0" w:leftChars="0" w:firstLine="0" w:firstLineChars="0"/>
        <w:jc w:val="left"/>
        <w:textAlignment w:val="auto"/>
        <w:rPr>
          <w:rFonts w:hint="eastAsia" w:ascii="宋体" w:hAnsi="宋体"/>
          <w:sz w:val="24"/>
          <w:szCs w:val="24"/>
        </w:rPr>
      </w:pPr>
      <w:r>
        <w:rPr>
          <w:rFonts w:hint="eastAsia" w:ascii="宋体" w:hAnsi="宋体"/>
          <w:sz w:val="24"/>
          <w:szCs w:val="24"/>
        </w:rPr>
        <w:t>报价方须以人民币报价，报价应含</w:t>
      </w:r>
      <w:r>
        <w:rPr>
          <w:rFonts w:hint="eastAsia" w:ascii="宋体" w:hAnsi="宋体"/>
          <w:sz w:val="24"/>
          <w:szCs w:val="24"/>
          <w:lang w:val="en-US" w:eastAsia="zh-CN"/>
        </w:rPr>
        <w:t>设备费、运费</w:t>
      </w:r>
      <w:r>
        <w:rPr>
          <w:rFonts w:hint="eastAsia" w:ascii="宋体" w:hAnsi="宋体"/>
          <w:sz w:val="24"/>
          <w:szCs w:val="24"/>
        </w:rPr>
        <w:t>、税费等全部费用。报价为含税报价，税率为13％增值税专用发票，未说明是否含税报价一律视为含税价。</w:t>
      </w:r>
    </w:p>
    <w:p>
      <w:pPr>
        <w:numPr>
          <w:ilvl w:val="0"/>
          <w:numId w:val="44"/>
        </w:numPr>
        <w:kinsoku w:val="0"/>
        <w:overflowPunct w:val="0"/>
        <w:adjustRightInd/>
        <w:spacing w:line="400" w:lineRule="atLeast"/>
        <w:ind w:left="0" w:leftChars="0" w:firstLine="0" w:firstLineChars="0"/>
        <w:jc w:val="left"/>
        <w:textAlignment w:val="auto"/>
        <w:rPr>
          <w:rFonts w:hint="eastAsia" w:ascii="宋体" w:hAnsi="宋体" w:eastAsiaTheme="minorEastAsia" w:cstheme="minorBidi"/>
          <w:b w:val="0"/>
          <w:spacing w:val="0"/>
          <w:kern w:val="2"/>
          <w:sz w:val="24"/>
          <w:szCs w:val="24"/>
          <w:lang w:val="en-US" w:eastAsia="zh-CN" w:bidi="ar-SA"/>
        </w:rPr>
      </w:pPr>
      <w:r>
        <w:rPr>
          <w:rFonts w:hint="eastAsia" w:ascii="宋体" w:hAnsi="宋体"/>
          <w:sz w:val="24"/>
          <w:szCs w:val="24"/>
          <w:lang w:val="en-US" w:eastAsia="zh-CN"/>
        </w:rPr>
        <w:t>付款方式</w:t>
      </w:r>
      <w:bookmarkStart w:id="138" w:name="_Toc21785_WPSOffice_Level2"/>
      <w:bookmarkStart w:id="139" w:name="_Toc11922_WPSOffice_Level2"/>
      <w:bookmarkStart w:id="140" w:name="_Toc15066_WPSOffice_Level2"/>
      <w:bookmarkStart w:id="141" w:name="_Toc12068_WPSOffice_Level2"/>
      <w:r>
        <w:rPr>
          <w:rFonts w:hint="eastAsia" w:ascii="宋体" w:hAnsi="宋体"/>
          <w:sz w:val="24"/>
          <w:szCs w:val="24"/>
          <w:lang w:val="en-US" w:eastAsia="zh-CN"/>
        </w:rPr>
        <w:t>：</w:t>
      </w:r>
      <w:r>
        <w:rPr>
          <w:rFonts w:hint="eastAsia" w:ascii="宋体" w:hAnsi="宋体" w:eastAsiaTheme="minorEastAsia" w:cstheme="minorBidi"/>
          <w:b w:val="0"/>
          <w:spacing w:val="0"/>
          <w:kern w:val="2"/>
          <w:sz w:val="24"/>
          <w:szCs w:val="24"/>
          <w:lang w:val="en-US" w:eastAsia="zh-CN" w:bidi="ar-SA"/>
        </w:rPr>
        <w:t>货物到采购方厂区后经采购方核对查收，报价方出具13%增值税全额专用发票给采购方，采购方</w:t>
      </w:r>
      <w:r>
        <w:rPr>
          <w:rFonts w:hint="eastAsia" w:ascii="宋体" w:hAnsi="宋体" w:cstheme="minorBidi"/>
          <w:b w:val="0"/>
          <w:spacing w:val="0"/>
          <w:kern w:val="2"/>
          <w:sz w:val="24"/>
          <w:szCs w:val="24"/>
          <w:lang w:val="en-US" w:eastAsia="zh-CN" w:bidi="ar-SA"/>
        </w:rPr>
        <w:t>经</w:t>
      </w:r>
      <w:r>
        <w:rPr>
          <w:rFonts w:hint="eastAsia" w:ascii="宋体" w:hAnsi="宋体" w:eastAsiaTheme="minorEastAsia" w:cstheme="minorBidi"/>
          <w:b w:val="0"/>
          <w:spacing w:val="0"/>
          <w:kern w:val="2"/>
          <w:sz w:val="24"/>
          <w:szCs w:val="24"/>
          <w:lang w:val="en-US" w:eastAsia="zh-CN" w:bidi="ar-SA"/>
        </w:rPr>
        <w:t>核实无误并在收到发票后</w:t>
      </w:r>
      <w:r>
        <w:rPr>
          <w:rFonts w:hint="eastAsia" w:ascii="宋体" w:hAnsi="宋体" w:cstheme="minorBidi"/>
          <w:b w:val="0"/>
          <w:spacing w:val="0"/>
          <w:kern w:val="2"/>
          <w:sz w:val="24"/>
          <w:szCs w:val="24"/>
          <w:lang w:val="en-US" w:eastAsia="zh-CN" w:bidi="ar-SA"/>
        </w:rPr>
        <w:t>15</w:t>
      </w:r>
      <w:r>
        <w:rPr>
          <w:rFonts w:hint="eastAsia" w:ascii="宋体" w:hAnsi="宋体" w:eastAsiaTheme="minorEastAsia" w:cstheme="minorBidi"/>
          <w:b w:val="0"/>
          <w:spacing w:val="0"/>
          <w:kern w:val="2"/>
          <w:sz w:val="24"/>
          <w:szCs w:val="24"/>
          <w:lang w:val="en-US" w:eastAsia="zh-CN" w:bidi="ar-SA"/>
        </w:rPr>
        <w:t>个工作日内支付相应款项。</w:t>
      </w:r>
    </w:p>
    <w:p>
      <w:pPr>
        <w:pStyle w:val="3"/>
        <w:numPr>
          <w:ilvl w:val="0"/>
          <w:numId w:val="21"/>
        </w:numPr>
        <w:tabs>
          <w:tab w:val="left" w:pos="420"/>
        </w:tabs>
        <w:adjustRightInd w:val="0"/>
        <w:snapToGrid w:val="0"/>
        <w:spacing w:before="0" w:after="0" w:line="440" w:lineRule="exact"/>
        <w:rPr>
          <w:rFonts w:hint="eastAsia" w:asciiTheme="minorEastAsia" w:hAnsiTheme="minorEastAsia" w:cstheme="minorEastAsia"/>
          <w:sz w:val="24"/>
          <w:szCs w:val="24"/>
          <w:lang w:val="en-US" w:eastAsia="zh-CN"/>
        </w:rPr>
      </w:pPr>
      <w:bookmarkStart w:id="142" w:name="_Toc16402"/>
      <w:r>
        <w:rPr>
          <w:rFonts w:hint="eastAsia" w:asciiTheme="minorEastAsia" w:hAnsiTheme="minorEastAsia" w:cstheme="minorEastAsia"/>
          <w:sz w:val="24"/>
          <w:szCs w:val="24"/>
          <w:lang w:val="en-US" w:eastAsia="zh-CN"/>
        </w:rPr>
        <w:t>其他事项</w:t>
      </w:r>
      <w:bookmarkEnd w:id="138"/>
      <w:bookmarkEnd w:id="139"/>
      <w:bookmarkEnd w:id="140"/>
      <w:bookmarkEnd w:id="141"/>
      <w:bookmarkEnd w:id="142"/>
    </w:p>
    <w:p>
      <w:pPr>
        <w:numPr>
          <w:ilvl w:val="0"/>
          <w:numId w:val="45"/>
        </w:numPr>
        <w:kinsoku w:val="0"/>
        <w:overflowPunct w:val="0"/>
        <w:adjustRightInd/>
        <w:spacing w:line="400" w:lineRule="atLeast"/>
        <w:ind w:left="0" w:leftChars="0" w:firstLine="0" w:firstLineChars="0"/>
        <w:jc w:val="left"/>
        <w:textAlignment w:val="auto"/>
        <w:rPr>
          <w:rFonts w:hint="eastAsia" w:ascii="宋体" w:hAnsi="宋体"/>
          <w:sz w:val="24"/>
          <w:szCs w:val="24"/>
          <w:lang w:val="en-US" w:eastAsia="zh-CN"/>
        </w:rPr>
      </w:pPr>
      <w:r>
        <w:rPr>
          <w:rFonts w:hint="eastAsia" w:ascii="宋体" w:hAnsi="宋体"/>
          <w:sz w:val="24"/>
          <w:szCs w:val="24"/>
          <w:lang w:val="en-US" w:eastAsia="zh-CN"/>
        </w:rPr>
        <w:t>成交供应商应严格依据报价文件所做承诺履行义务，如有违约，采购方有权根据协议、合同采取措施保证本项目的顺利进行，若协商不能达成一致的，可向采购方所在地人民法院以诉讼方式解决，并相应追究违约方的违约责任。</w:t>
      </w:r>
    </w:p>
    <w:p>
      <w:pPr>
        <w:numPr>
          <w:ilvl w:val="0"/>
          <w:numId w:val="45"/>
        </w:numPr>
        <w:kinsoku w:val="0"/>
        <w:overflowPunct w:val="0"/>
        <w:adjustRightInd/>
        <w:spacing w:line="400" w:lineRule="atLeast"/>
        <w:ind w:left="0" w:leftChars="0" w:firstLine="0" w:firstLineChars="0"/>
        <w:jc w:val="left"/>
        <w:textAlignment w:val="auto"/>
        <w:rPr>
          <w:rFonts w:hint="eastAsia" w:ascii="宋体" w:hAnsi="宋体"/>
          <w:sz w:val="24"/>
          <w:szCs w:val="24"/>
          <w:lang w:val="en-US" w:eastAsia="zh-CN"/>
        </w:rPr>
      </w:pPr>
      <w:r>
        <w:rPr>
          <w:rFonts w:hint="eastAsia" w:ascii="宋体" w:hAnsi="宋体"/>
          <w:sz w:val="24"/>
          <w:szCs w:val="24"/>
          <w:lang w:val="en-US" w:eastAsia="zh-CN"/>
        </w:rPr>
        <w:t>确定成交供应商后，成交供应商应严格依据采购文件及报价文件签订合同，并依据货物采购合同履行义务，如有违约，采购方有权追究违约方的违约责任。</w:t>
      </w:r>
    </w:p>
    <w:p>
      <w:pPr>
        <w:numPr>
          <w:ilvl w:val="0"/>
          <w:numId w:val="45"/>
        </w:numPr>
        <w:kinsoku w:val="0"/>
        <w:overflowPunct w:val="0"/>
        <w:adjustRightInd/>
        <w:spacing w:line="400" w:lineRule="atLeast"/>
        <w:ind w:left="0" w:leftChars="0" w:firstLine="0" w:firstLineChars="0"/>
        <w:jc w:val="left"/>
        <w:textAlignment w:val="auto"/>
        <w:rPr>
          <w:rFonts w:hint="eastAsia" w:ascii="宋体" w:hAnsi="宋体"/>
          <w:sz w:val="24"/>
          <w:szCs w:val="24"/>
          <w:lang w:val="en-US" w:eastAsia="zh-CN"/>
        </w:rPr>
      </w:pPr>
      <w:r>
        <w:rPr>
          <w:rFonts w:hint="eastAsia" w:ascii="宋体" w:hAnsi="宋体"/>
          <w:sz w:val="24"/>
          <w:szCs w:val="24"/>
          <w:lang w:val="en-US" w:eastAsia="zh-CN"/>
        </w:rPr>
        <w:t>成交供应商必须于成交通知书发出之日起，10日内领取中标通知书原件，未按规定领取的，视为成交供应商放弃成交资格。</w:t>
      </w:r>
    </w:p>
    <w:p>
      <w:pPr>
        <w:numPr>
          <w:ilvl w:val="0"/>
          <w:numId w:val="45"/>
        </w:numPr>
        <w:kinsoku w:val="0"/>
        <w:overflowPunct w:val="0"/>
        <w:adjustRightInd/>
        <w:spacing w:line="400" w:lineRule="atLeast"/>
        <w:ind w:left="0" w:leftChars="0" w:firstLine="0" w:firstLineChars="0"/>
        <w:jc w:val="left"/>
        <w:textAlignment w:val="auto"/>
        <w:rPr>
          <w:rFonts w:hint="eastAsia" w:ascii="宋体" w:hAnsi="宋体"/>
          <w:sz w:val="24"/>
          <w:szCs w:val="24"/>
          <w:lang w:val="en-US" w:eastAsia="zh-CN"/>
        </w:rPr>
      </w:pPr>
      <w:r>
        <w:rPr>
          <w:rFonts w:hint="eastAsia" w:ascii="宋体" w:hAnsi="宋体"/>
          <w:sz w:val="24"/>
          <w:szCs w:val="24"/>
          <w:lang w:val="en-US" w:eastAsia="zh-CN"/>
        </w:rPr>
        <w:t>报价方应如实提供所有资料的相关复印件，必要时采购方将保留要求报价方提供原件予以核查的权利。</w:t>
      </w:r>
    </w:p>
    <w:p>
      <w:pPr>
        <w:numPr>
          <w:ilvl w:val="0"/>
          <w:numId w:val="45"/>
        </w:numPr>
        <w:kinsoku w:val="0"/>
        <w:overflowPunct w:val="0"/>
        <w:adjustRightInd/>
        <w:spacing w:line="400" w:lineRule="atLeast"/>
        <w:ind w:left="0" w:leftChars="0" w:firstLine="0" w:firstLineChars="0"/>
        <w:jc w:val="left"/>
        <w:textAlignment w:val="auto"/>
        <w:rPr>
          <w:rFonts w:hint="eastAsia" w:ascii="宋体" w:hAnsi="宋体"/>
          <w:sz w:val="24"/>
          <w:szCs w:val="24"/>
          <w:lang w:val="en-US" w:eastAsia="zh-CN"/>
        </w:rPr>
      </w:pPr>
      <w:r>
        <w:rPr>
          <w:rFonts w:hint="eastAsia" w:ascii="宋体" w:hAnsi="宋体"/>
          <w:sz w:val="24"/>
          <w:szCs w:val="24"/>
          <w:lang w:val="en-US" w:eastAsia="zh-CN"/>
        </w:rPr>
        <w:t>响应报价文件有效期。响应报价文件有效期60天，在此期间内，所有报价文件均保持有效。</w:t>
      </w:r>
    </w:p>
    <w:p>
      <w:pPr>
        <w:pStyle w:val="2"/>
        <w:rPr>
          <w:rFonts w:hint="eastAsia" w:ascii="宋体" w:hAnsi="宋体"/>
          <w:sz w:val="24"/>
          <w:szCs w:val="24"/>
          <w:lang w:val="en-US" w:eastAsia="zh-CN"/>
        </w:rPr>
      </w:pPr>
    </w:p>
    <w:p>
      <w:pPr>
        <w:pStyle w:val="2"/>
        <w:rPr>
          <w:rFonts w:hint="eastAsia" w:ascii="宋体" w:hAnsi="宋体"/>
          <w:sz w:val="24"/>
          <w:szCs w:val="24"/>
          <w:lang w:val="en-US" w:eastAsia="zh-CN"/>
        </w:rPr>
      </w:pPr>
    </w:p>
    <w:p>
      <w:pPr>
        <w:pStyle w:val="2"/>
        <w:rPr>
          <w:rFonts w:hint="eastAsia" w:ascii="宋体" w:hAnsi="宋体"/>
          <w:sz w:val="24"/>
          <w:szCs w:val="24"/>
          <w:lang w:val="en-US" w:eastAsia="zh-CN"/>
        </w:rPr>
      </w:pPr>
    </w:p>
    <w:p>
      <w:pPr>
        <w:pStyle w:val="2"/>
        <w:rPr>
          <w:rFonts w:hint="eastAsia" w:ascii="宋体" w:hAnsi="宋体"/>
          <w:sz w:val="24"/>
          <w:szCs w:val="24"/>
          <w:lang w:val="en-US" w:eastAsia="zh-CN"/>
        </w:rPr>
      </w:pPr>
    </w:p>
    <w:p>
      <w:pPr>
        <w:pStyle w:val="2"/>
        <w:rPr>
          <w:rFonts w:hint="eastAsia" w:ascii="宋体" w:hAnsi="宋体"/>
          <w:sz w:val="24"/>
          <w:szCs w:val="24"/>
          <w:lang w:val="en-US" w:eastAsia="zh-CN"/>
        </w:rPr>
      </w:pPr>
    </w:p>
    <w:p>
      <w:pPr>
        <w:pStyle w:val="2"/>
        <w:rPr>
          <w:rFonts w:hint="eastAsia" w:ascii="宋体" w:hAnsi="宋体"/>
          <w:sz w:val="24"/>
          <w:szCs w:val="24"/>
          <w:lang w:val="en-US" w:eastAsia="zh-CN"/>
        </w:rPr>
      </w:pPr>
    </w:p>
    <w:p>
      <w:pPr>
        <w:pStyle w:val="2"/>
        <w:rPr>
          <w:rFonts w:hint="eastAsia" w:ascii="宋体" w:hAnsi="宋体"/>
          <w:sz w:val="24"/>
          <w:szCs w:val="24"/>
          <w:lang w:val="en-US" w:eastAsia="zh-CN"/>
        </w:rPr>
      </w:pPr>
    </w:p>
    <w:p>
      <w:pPr>
        <w:pStyle w:val="2"/>
        <w:rPr>
          <w:rFonts w:hint="eastAsia" w:ascii="宋体" w:hAnsi="宋体"/>
          <w:sz w:val="24"/>
          <w:szCs w:val="24"/>
          <w:lang w:val="en-US" w:eastAsia="zh-CN"/>
        </w:rPr>
      </w:pPr>
    </w:p>
    <w:p>
      <w:pPr>
        <w:pStyle w:val="2"/>
        <w:rPr>
          <w:rFonts w:hint="eastAsia" w:ascii="宋体" w:hAnsi="宋体"/>
          <w:sz w:val="24"/>
          <w:szCs w:val="24"/>
          <w:lang w:val="en-US" w:eastAsia="zh-CN"/>
        </w:rPr>
      </w:pPr>
    </w:p>
    <w:p>
      <w:pPr>
        <w:pStyle w:val="2"/>
        <w:rPr>
          <w:rFonts w:hint="eastAsia" w:ascii="宋体" w:hAnsi="宋体"/>
          <w:sz w:val="24"/>
          <w:szCs w:val="24"/>
          <w:lang w:val="en-US" w:eastAsia="zh-CN"/>
        </w:rPr>
      </w:pPr>
    </w:p>
    <w:p>
      <w:pPr>
        <w:pStyle w:val="2"/>
        <w:rPr>
          <w:rFonts w:hint="eastAsia" w:ascii="宋体" w:hAnsi="宋体"/>
          <w:sz w:val="24"/>
          <w:szCs w:val="24"/>
          <w:lang w:val="en-US" w:eastAsia="zh-CN"/>
        </w:rPr>
      </w:pPr>
    </w:p>
    <w:p>
      <w:pPr>
        <w:pStyle w:val="2"/>
        <w:rPr>
          <w:rFonts w:hint="eastAsia" w:ascii="宋体" w:hAnsi="宋体"/>
          <w:sz w:val="24"/>
          <w:szCs w:val="24"/>
          <w:lang w:val="en-US" w:eastAsia="zh-CN"/>
        </w:rPr>
      </w:pPr>
    </w:p>
    <w:p>
      <w:pPr>
        <w:pStyle w:val="2"/>
        <w:rPr>
          <w:rFonts w:hint="eastAsia" w:ascii="宋体" w:hAnsi="宋体"/>
          <w:sz w:val="24"/>
          <w:szCs w:val="24"/>
          <w:lang w:val="en-US" w:eastAsia="zh-CN"/>
        </w:rPr>
      </w:pPr>
    </w:p>
    <w:p>
      <w:pPr>
        <w:pStyle w:val="2"/>
        <w:rPr>
          <w:rFonts w:hint="eastAsia" w:ascii="宋体" w:hAnsi="宋体"/>
          <w:sz w:val="24"/>
          <w:szCs w:val="24"/>
          <w:lang w:val="en-US" w:eastAsia="zh-CN"/>
        </w:rPr>
      </w:pPr>
    </w:p>
    <w:p>
      <w:pPr>
        <w:pStyle w:val="2"/>
        <w:rPr>
          <w:rFonts w:hint="eastAsia" w:ascii="宋体" w:hAnsi="宋体"/>
          <w:sz w:val="24"/>
          <w:szCs w:val="24"/>
          <w:lang w:val="en-US" w:eastAsia="zh-CN"/>
        </w:rPr>
      </w:pPr>
    </w:p>
    <w:p>
      <w:pPr>
        <w:pStyle w:val="2"/>
        <w:rPr>
          <w:rFonts w:hint="eastAsia" w:ascii="宋体" w:hAnsi="宋体"/>
          <w:sz w:val="24"/>
          <w:szCs w:val="24"/>
          <w:lang w:val="en-US" w:eastAsia="zh-CN"/>
        </w:rPr>
      </w:pPr>
    </w:p>
    <w:p>
      <w:pPr>
        <w:pStyle w:val="2"/>
        <w:rPr>
          <w:rFonts w:hint="eastAsia" w:ascii="宋体" w:hAnsi="宋体"/>
          <w:sz w:val="24"/>
          <w:szCs w:val="24"/>
          <w:lang w:val="en-US" w:eastAsia="zh-CN"/>
        </w:rPr>
      </w:pPr>
    </w:p>
    <w:p>
      <w:pPr>
        <w:pStyle w:val="2"/>
        <w:rPr>
          <w:rFonts w:hint="eastAsia" w:ascii="宋体" w:hAnsi="宋体"/>
          <w:sz w:val="24"/>
          <w:szCs w:val="24"/>
          <w:lang w:val="en-US" w:eastAsia="zh-CN"/>
        </w:rPr>
      </w:pPr>
    </w:p>
    <w:p>
      <w:pPr>
        <w:pStyle w:val="2"/>
        <w:rPr>
          <w:rFonts w:hint="eastAsia" w:ascii="宋体" w:hAnsi="宋体"/>
          <w:sz w:val="24"/>
          <w:szCs w:val="24"/>
          <w:lang w:val="en-US" w:eastAsia="zh-CN"/>
        </w:rPr>
      </w:pPr>
    </w:p>
    <w:p>
      <w:pPr>
        <w:pStyle w:val="2"/>
        <w:rPr>
          <w:rFonts w:hint="eastAsia" w:ascii="宋体" w:hAnsi="宋体"/>
          <w:sz w:val="24"/>
          <w:szCs w:val="24"/>
          <w:lang w:val="en-US" w:eastAsia="zh-CN"/>
        </w:rPr>
      </w:pPr>
    </w:p>
    <w:p>
      <w:pPr>
        <w:pStyle w:val="2"/>
        <w:rPr>
          <w:rFonts w:hint="eastAsia" w:ascii="宋体" w:hAnsi="宋体"/>
          <w:sz w:val="24"/>
          <w:szCs w:val="24"/>
          <w:lang w:val="en-US" w:eastAsia="zh-CN"/>
        </w:rPr>
      </w:pPr>
    </w:p>
    <w:p>
      <w:pPr>
        <w:pStyle w:val="2"/>
        <w:rPr>
          <w:rFonts w:hint="eastAsia" w:ascii="宋体" w:hAnsi="宋体"/>
          <w:sz w:val="24"/>
          <w:szCs w:val="24"/>
          <w:lang w:val="en-US" w:eastAsia="zh-CN"/>
        </w:rPr>
      </w:pPr>
    </w:p>
    <w:p>
      <w:pPr>
        <w:pStyle w:val="2"/>
        <w:rPr>
          <w:rFonts w:hint="eastAsia" w:ascii="宋体" w:hAnsi="宋体"/>
          <w:sz w:val="24"/>
          <w:szCs w:val="24"/>
          <w:lang w:val="en-US" w:eastAsia="zh-CN"/>
        </w:rPr>
      </w:pPr>
    </w:p>
    <w:p>
      <w:pPr>
        <w:pStyle w:val="2"/>
        <w:rPr>
          <w:rFonts w:hint="eastAsia" w:ascii="宋体" w:hAnsi="宋体"/>
          <w:sz w:val="24"/>
          <w:szCs w:val="24"/>
          <w:lang w:val="en-US" w:eastAsia="zh-CN"/>
        </w:rPr>
      </w:pPr>
    </w:p>
    <w:p>
      <w:pPr>
        <w:pStyle w:val="2"/>
        <w:rPr>
          <w:rFonts w:hint="eastAsia" w:ascii="宋体" w:hAnsi="宋体"/>
          <w:sz w:val="24"/>
          <w:szCs w:val="24"/>
          <w:lang w:val="en-US" w:eastAsia="zh-CN"/>
        </w:rPr>
      </w:pPr>
    </w:p>
    <w:p>
      <w:pPr>
        <w:pStyle w:val="2"/>
        <w:rPr>
          <w:rFonts w:hint="eastAsia" w:ascii="宋体" w:hAnsi="宋体"/>
          <w:sz w:val="24"/>
          <w:szCs w:val="24"/>
          <w:lang w:val="en-US" w:eastAsia="zh-CN"/>
        </w:rPr>
      </w:pPr>
    </w:p>
    <w:p>
      <w:pPr>
        <w:pStyle w:val="2"/>
        <w:rPr>
          <w:rFonts w:hint="eastAsia" w:ascii="宋体" w:hAnsi="宋体"/>
          <w:sz w:val="24"/>
          <w:szCs w:val="24"/>
          <w:lang w:val="en-US" w:eastAsia="zh-CN"/>
        </w:rPr>
      </w:pPr>
    </w:p>
    <w:p>
      <w:pPr>
        <w:pStyle w:val="2"/>
        <w:rPr>
          <w:rFonts w:hint="eastAsia" w:ascii="宋体" w:hAnsi="宋体"/>
          <w:sz w:val="24"/>
          <w:szCs w:val="24"/>
          <w:lang w:val="en-US" w:eastAsia="zh-CN"/>
        </w:rPr>
      </w:pPr>
    </w:p>
    <w:p>
      <w:pPr>
        <w:pStyle w:val="2"/>
        <w:rPr>
          <w:rFonts w:hint="eastAsia" w:ascii="宋体" w:hAnsi="宋体"/>
          <w:sz w:val="24"/>
          <w:szCs w:val="24"/>
          <w:lang w:val="en-US" w:eastAsia="zh-CN"/>
        </w:rPr>
      </w:pPr>
    </w:p>
    <w:p>
      <w:pPr>
        <w:pStyle w:val="2"/>
        <w:rPr>
          <w:rFonts w:hint="eastAsia" w:ascii="宋体" w:hAnsi="宋体"/>
          <w:sz w:val="24"/>
          <w:szCs w:val="24"/>
          <w:lang w:val="en-US" w:eastAsia="zh-CN"/>
        </w:rPr>
      </w:pPr>
    </w:p>
    <w:p>
      <w:pPr>
        <w:pStyle w:val="2"/>
        <w:rPr>
          <w:rFonts w:hint="eastAsia" w:ascii="宋体" w:hAnsi="宋体"/>
          <w:sz w:val="24"/>
          <w:szCs w:val="24"/>
          <w:lang w:val="en-US" w:eastAsia="zh-CN"/>
        </w:rPr>
      </w:pPr>
    </w:p>
    <w:p>
      <w:pPr>
        <w:pStyle w:val="2"/>
        <w:rPr>
          <w:rFonts w:hint="eastAsia" w:ascii="宋体" w:hAnsi="宋体"/>
          <w:sz w:val="24"/>
          <w:szCs w:val="24"/>
          <w:lang w:val="en-US" w:eastAsia="zh-CN"/>
        </w:rPr>
      </w:pPr>
    </w:p>
    <w:p>
      <w:pPr>
        <w:pStyle w:val="2"/>
        <w:rPr>
          <w:rFonts w:hint="eastAsia" w:ascii="宋体" w:hAnsi="宋体"/>
          <w:sz w:val="24"/>
          <w:szCs w:val="24"/>
          <w:lang w:val="en-US" w:eastAsia="zh-CN"/>
        </w:rPr>
      </w:pPr>
    </w:p>
    <w:p>
      <w:pPr>
        <w:pStyle w:val="2"/>
        <w:rPr>
          <w:rFonts w:hint="eastAsia" w:ascii="宋体" w:hAnsi="宋体"/>
          <w:sz w:val="24"/>
          <w:szCs w:val="24"/>
          <w:lang w:val="en-US" w:eastAsia="zh-CN"/>
        </w:rPr>
      </w:pPr>
    </w:p>
    <w:p>
      <w:pPr>
        <w:pStyle w:val="2"/>
        <w:rPr>
          <w:rFonts w:hint="eastAsia" w:ascii="宋体" w:hAnsi="宋体"/>
          <w:sz w:val="24"/>
          <w:szCs w:val="24"/>
          <w:lang w:val="en-US" w:eastAsia="zh-CN"/>
        </w:rPr>
      </w:pPr>
    </w:p>
    <w:p>
      <w:pPr>
        <w:pStyle w:val="2"/>
        <w:rPr>
          <w:rFonts w:hint="eastAsia" w:ascii="宋体" w:hAnsi="宋体"/>
          <w:sz w:val="24"/>
          <w:szCs w:val="24"/>
          <w:lang w:val="en-US" w:eastAsia="zh-CN"/>
        </w:rPr>
      </w:pPr>
    </w:p>
    <w:p>
      <w:pPr>
        <w:pStyle w:val="2"/>
        <w:rPr>
          <w:rFonts w:hint="eastAsia" w:ascii="宋体" w:hAnsi="宋体"/>
          <w:sz w:val="24"/>
          <w:szCs w:val="24"/>
          <w:lang w:val="en-US" w:eastAsia="zh-CN"/>
        </w:rPr>
      </w:pPr>
    </w:p>
    <w:p>
      <w:pPr>
        <w:pStyle w:val="2"/>
        <w:rPr>
          <w:rFonts w:hint="eastAsia" w:ascii="宋体" w:hAnsi="宋体"/>
          <w:sz w:val="24"/>
          <w:szCs w:val="24"/>
          <w:lang w:val="en-US" w:eastAsia="zh-CN"/>
        </w:rPr>
      </w:pPr>
    </w:p>
    <w:p>
      <w:pPr>
        <w:kinsoku w:val="0"/>
        <w:overflowPunct w:val="0"/>
        <w:adjustRightInd/>
        <w:spacing w:line="400" w:lineRule="atLeast"/>
        <w:rPr>
          <w:rFonts w:hint="eastAsia" w:ascii="宋体" w:hAnsi="宋体"/>
          <w:sz w:val="24"/>
        </w:rPr>
      </w:pPr>
    </w:p>
    <w:p>
      <w:pPr>
        <w:pStyle w:val="4"/>
        <w:keepNext w:val="0"/>
        <w:keepLines w:val="0"/>
        <w:kinsoku w:val="0"/>
        <w:overflowPunct w:val="0"/>
        <w:autoSpaceDE w:val="0"/>
        <w:autoSpaceDN w:val="0"/>
        <w:adjustRightInd/>
        <w:spacing w:before="0" w:after="0" w:line="400" w:lineRule="atLeast"/>
        <w:ind w:firstLine="522" w:firstLineChars="200"/>
        <w:jc w:val="center"/>
        <w:textAlignment w:val="auto"/>
        <w:outlineLvl w:val="0"/>
        <w:rPr>
          <w:rFonts w:hint="eastAsia" w:ascii="宋体" w:hAnsi="宋体" w:eastAsia="宋体"/>
          <w:bCs/>
          <w:sz w:val="24"/>
          <w:szCs w:val="24"/>
        </w:rPr>
      </w:pPr>
      <w:bookmarkStart w:id="143" w:name="_Toc26755_WPSOffice_Level1"/>
      <w:bookmarkStart w:id="144" w:name="_Toc12983_WPSOffice_Level1"/>
      <w:bookmarkStart w:id="145" w:name="_Toc32010_WPSOffice_Level1"/>
      <w:bookmarkStart w:id="146" w:name="_Toc13840"/>
      <w:bookmarkStart w:id="147" w:name="_Toc673_WPSOffice_Level1"/>
      <w:bookmarkStart w:id="148" w:name="_Toc9692_WPSOffice_Level1"/>
      <w:bookmarkStart w:id="149" w:name="_Toc25552_WPSOffice_Level1"/>
      <w:r>
        <w:rPr>
          <w:rFonts w:hint="eastAsia" w:ascii="宋体" w:hAnsi="宋体" w:eastAsia="宋体"/>
          <w:bCs/>
          <w:sz w:val="24"/>
          <w:szCs w:val="24"/>
        </w:rPr>
        <w:t>第四部分 合同</w:t>
      </w:r>
      <w:bookmarkEnd w:id="143"/>
      <w:r>
        <w:rPr>
          <w:rFonts w:hint="eastAsia" w:ascii="宋体" w:hAnsi="宋体" w:eastAsia="宋体"/>
          <w:bCs/>
          <w:sz w:val="24"/>
          <w:szCs w:val="24"/>
        </w:rPr>
        <w:t>主要条款</w:t>
      </w:r>
      <w:bookmarkEnd w:id="144"/>
      <w:bookmarkEnd w:id="145"/>
      <w:bookmarkEnd w:id="146"/>
      <w:bookmarkEnd w:id="147"/>
      <w:bookmarkEnd w:id="148"/>
      <w:bookmarkEnd w:id="149"/>
    </w:p>
    <w:tbl>
      <w:tblPr>
        <w:tblStyle w:val="11"/>
        <w:tblW w:w="50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5000" w:type="pct"/>
            <w:noWrap w:val="0"/>
            <w:vAlign w:val="top"/>
          </w:tcPr>
          <w:p>
            <w:pPr>
              <w:kinsoku w:val="0"/>
              <w:overflowPunct w:val="0"/>
              <w:adjustRightInd/>
              <w:spacing w:line="400" w:lineRule="atLeast"/>
              <w:rPr>
                <w:rFonts w:hint="eastAsia" w:ascii="宋体" w:hAnsi="宋体" w:cs="宋体"/>
                <w:sz w:val="24"/>
                <w:szCs w:val="24"/>
              </w:rPr>
            </w:pPr>
            <w:r>
              <w:rPr>
                <w:rFonts w:hint="eastAsia" w:ascii="宋体" w:hAnsi="宋体" w:cs="宋体"/>
                <w:sz w:val="24"/>
                <w:szCs w:val="24"/>
              </w:rPr>
              <w:t>注释：本格式条款仅作为双方签订合同的参考，为阐明各方的权利和义务，经协商可增加新的条款、修改相关条款，但不得与采购文件、响应报价文件的实质性内容相背离。</w:t>
            </w:r>
          </w:p>
        </w:tc>
      </w:tr>
    </w:tbl>
    <w:p>
      <w:pPr>
        <w:kinsoku w:val="0"/>
        <w:overflowPunct w:val="0"/>
        <w:adjustRightInd/>
        <w:spacing w:line="400" w:lineRule="atLeast"/>
        <w:ind w:firstLine="482" w:firstLineChars="200"/>
        <w:jc w:val="left"/>
        <w:textAlignment w:val="auto"/>
        <w:rPr>
          <w:rFonts w:hint="eastAsia" w:ascii="宋体" w:hAnsi="宋体" w:cs="宋体"/>
          <w:sz w:val="24"/>
          <w:szCs w:val="24"/>
          <w:u w:val="single"/>
        </w:rPr>
      </w:pPr>
      <w:bookmarkStart w:id="150" w:name="_Toc5361_WPSOffice_Level2"/>
      <w:bookmarkStart w:id="151" w:name="_Toc17855_WPSOffice_Level1"/>
      <w:r>
        <w:rPr>
          <w:rFonts w:hint="eastAsia" w:ascii="宋体" w:hAnsi="宋体" w:cs="宋体"/>
          <w:b/>
          <w:sz w:val="24"/>
          <w:szCs w:val="24"/>
          <w:lang w:val="en-US" w:eastAsia="zh-CN"/>
        </w:rPr>
        <w:t>需方</w:t>
      </w:r>
      <w:r>
        <w:rPr>
          <w:rFonts w:hint="eastAsia" w:ascii="宋体" w:hAnsi="宋体" w:cs="宋体"/>
          <w:sz w:val="24"/>
          <w:szCs w:val="24"/>
        </w:rPr>
        <w:t>：</w:t>
      </w:r>
      <w:r>
        <w:rPr>
          <w:rFonts w:hint="eastAsia" w:ascii="宋体" w:hAnsi="宋体" w:cs="宋体"/>
          <w:sz w:val="24"/>
          <w:szCs w:val="24"/>
          <w:u w:val="single"/>
        </w:rPr>
        <w:t>厦门海发环保能源股份有限公司</w:t>
      </w:r>
      <w:bookmarkEnd w:id="150"/>
      <w:bookmarkEnd w:id="151"/>
    </w:p>
    <w:p>
      <w:pPr>
        <w:kinsoku w:val="0"/>
        <w:overflowPunct w:val="0"/>
        <w:adjustRightInd/>
        <w:spacing w:line="400" w:lineRule="atLeast"/>
        <w:ind w:firstLine="1200" w:firstLineChars="500"/>
        <w:jc w:val="left"/>
        <w:textAlignment w:val="auto"/>
        <w:rPr>
          <w:rFonts w:hint="eastAsia" w:ascii="宋体" w:hAnsi="宋体" w:cs="宋体"/>
          <w:sz w:val="24"/>
          <w:szCs w:val="24"/>
          <w:u w:val="single"/>
        </w:rPr>
      </w:pPr>
      <w:r>
        <w:rPr>
          <w:rFonts w:hint="eastAsia" w:ascii="宋体" w:hAnsi="宋体" w:cs="宋体"/>
          <w:sz w:val="24"/>
          <w:szCs w:val="24"/>
          <w:u w:val="single"/>
        </w:rPr>
        <w:t>住所地：厦门市海沧区阳光西路288号</w:t>
      </w:r>
    </w:p>
    <w:p>
      <w:pPr>
        <w:kinsoku w:val="0"/>
        <w:overflowPunct w:val="0"/>
        <w:adjustRightInd/>
        <w:spacing w:line="400" w:lineRule="atLeast"/>
        <w:ind w:firstLine="482" w:firstLineChars="200"/>
        <w:jc w:val="left"/>
        <w:textAlignment w:val="auto"/>
        <w:outlineLvl w:val="0"/>
        <w:rPr>
          <w:rFonts w:hint="eastAsia" w:ascii="宋体" w:hAnsi="宋体" w:cs="宋体"/>
          <w:sz w:val="24"/>
          <w:szCs w:val="24"/>
          <w:u w:val="single"/>
        </w:rPr>
      </w:pPr>
      <w:bookmarkStart w:id="152" w:name="_Toc15367"/>
      <w:bookmarkStart w:id="153" w:name="_Toc3544_WPSOffice_Level2"/>
      <w:bookmarkStart w:id="154" w:name="_Toc19214_WPSOffice_Level1"/>
      <w:r>
        <w:rPr>
          <w:rFonts w:hint="eastAsia" w:ascii="宋体" w:hAnsi="宋体" w:cs="宋体"/>
          <w:b/>
          <w:sz w:val="24"/>
          <w:szCs w:val="24"/>
          <w:lang w:val="en-US" w:eastAsia="zh-CN"/>
        </w:rPr>
        <w:t>供方</w:t>
      </w:r>
      <w:r>
        <w:rPr>
          <w:rFonts w:hint="eastAsia" w:ascii="宋体" w:hAnsi="宋体" w:cs="宋体"/>
          <w:b/>
          <w:bCs/>
          <w:sz w:val="24"/>
          <w:szCs w:val="24"/>
        </w:rPr>
        <w:t>：</w:t>
      </w:r>
      <w:bookmarkEnd w:id="152"/>
      <w:bookmarkEnd w:id="153"/>
      <w:bookmarkEnd w:id="154"/>
      <w:r>
        <w:rPr>
          <w:rFonts w:hint="eastAsia" w:ascii="宋体" w:hAnsi="宋体" w:cs="宋体"/>
          <w:kern w:val="2"/>
          <w:sz w:val="24"/>
          <w:szCs w:val="24"/>
          <w:u w:val="single"/>
        </w:rPr>
        <w:t xml:space="preserve">                                 </w:t>
      </w:r>
    </w:p>
    <w:p>
      <w:pPr>
        <w:kinsoku w:val="0"/>
        <w:overflowPunct w:val="0"/>
        <w:adjustRightInd/>
        <w:spacing w:line="400" w:lineRule="atLeast"/>
        <w:ind w:firstLine="436" w:firstLineChars="182"/>
        <w:textAlignment w:val="auto"/>
        <w:rPr>
          <w:rFonts w:hint="eastAsia" w:ascii="宋体" w:hAnsi="宋体" w:cs="宋体"/>
          <w:sz w:val="24"/>
          <w:szCs w:val="24"/>
          <w:u w:val="single"/>
        </w:rPr>
      </w:pPr>
      <w:r>
        <w:rPr>
          <w:rFonts w:hint="eastAsia" w:ascii="宋体" w:hAnsi="宋体" w:cs="宋体"/>
          <w:sz w:val="24"/>
          <w:szCs w:val="24"/>
        </w:rPr>
        <w:t xml:space="preserve">      </w:t>
      </w:r>
      <w:r>
        <w:rPr>
          <w:rFonts w:hint="eastAsia" w:ascii="宋体" w:hAnsi="宋体" w:cs="宋体"/>
          <w:sz w:val="24"/>
          <w:szCs w:val="24"/>
          <w:u w:val="single"/>
        </w:rPr>
        <w:t xml:space="preserve">                                  </w:t>
      </w:r>
    </w:p>
    <w:p>
      <w:pPr>
        <w:kinsoku w:val="0"/>
        <w:overflowPunct w:val="0"/>
        <w:adjustRightInd/>
        <w:spacing w:line="400" w:lineRule="atLeast"/>
        <w:ind w:firstLine="480" w:firstLineChars="200"/>
        <w:jc w:val="left"/>
        <w:textAlignment w:val="auto"/>
        <w:rPr>
          <w:rFonts w:hint="eastAsia" w:ascii="宋体" w:hAnsi="宋体" w:cs="宋体"/>
          <w:sz w:val="24"/>
          <w:szCs w:val="24"/>
        </w:rPr>
      </w:pPr>
      <w:r>
        <w:rPr>
          <w:rFonts w:hint="eastAsia" w:ascii="宋体" w:hAnsi="宋体" w:cs="宋体"/>
          <w:sz w:val="24"/>
          <w:szCs w:val="24"/>
        </w:rPr>
        <w:t>根据《中华人民共和国</w:t>
      </w:r>
      <w:r>
        <w:rPr>
          <w:rFonts w:hint="eastAsia" w:ascii="宋体" w:hAnsi="宋体" w:cs="宋体"/>
          <w:sz w:val="24"/>
          <w:szCs w:val="24"/>
          <w:lang w:val="en-US" w:eastAsia="zh-CN"/>
        </w:rPr>
        <w:t>民法典</w:t>
      </w:r>
      <w:r>
        <w:rPr>
          <w:rFonts w:hint="eastAsia" w:ascii="宋体" w:hAnsi="宋体" w:cs="宋体"/>
          <w:sz w:val="24"/>
          <w:szCs w:val="24"/>
        </w:rPr>
        <w:t>》及有关法律、法规，</w:t>
      </w:r>
      <w:r>
        <w:rPr>
          <w:rFonts w:hint="eastAsia" w:hAnsi="宋体"/>
          <w:sz w:val="24"/>
          <w:szCs w:val="24"/>
          <w:lang w:val="en-US" w:eastAsia="zh-CN"/>
        </w:rPr>
        <w:t>需方</w:t>
      </w:r>
      <w:r>
        <w:rPr>
          <w:rFonts w:hAnsi="宋体"/>
          <w:sz w:val="24"/>
          <w:szCs w:val="24"/>
        </w:rPr>
        <w:t>、</w:t>
      </w:r>
      <w:r>
        <w:rPr>
          <w:rFonts w:hint="eastAsia" w:hAnsi="宋体"/>
          <w:sz w:val="24"/>
          <w:szCs w:val="24"/>
          <w:lang w:val="en-US" w:eastAsia="zh-CN"/>
        </w:rPr>
        <w:t>供方</w:t>
      </w:r>
      <w:r>
        <w:rPr>
          <w:rFonts w:hAnsi="宋体"/>
          <w:sz w:val="24"/>
          <w:szCs w:val="24"/>
        </w:rPr>
        <w:t>本着精诚合作、互惠互利的原则，</w:t>
      </w:r>
      <w:r>
        <w:rPr>
          <w:rFonts w:hint="eastAsia" w:ascii="宋体" w:hAnsi="宋体" w:cs="宋体"/>
          <w:sz w:val="24"/>
          <w:szCs w:val="24"/>
        </w:rPr>
        <w:t>就</w:t>
      </w:r>
      <w:r>
        <w:rPr>
          <w:rFonts w:hint="eastAsia" w:ascii="宋体" w:hAnsi="宋体" w:cs="宋体"/>
          <w:sz w:val="24"/>
          <w:szCs w:val="24"/>
          <w:lang w:val="en-US" w:eastAsia="zh-CN"/>
        </w:rPr>
        <w:t>需方电动闸阀备件采购</w:t>
      </w:r>
      <w:r>
        <w:rPr>
          <w:rFonts w:hint="eastAsia" w:ascii="宋体" w:hAnsi="宋体" w:cs="宋体"/>
          <w:bCs/>
          <w:sz w:val="24"/>
          <w:szCs w:val="24"/>
        </w:rPr>
        <w:t>项目</w:t>
      </w:r>
      <w:r>
        <w:rPr>
          <w:rFonts w:hint="eastAsia" w:ascii="宋体" w:hAnsi="宋体" w:cs="宋体"/>
          <w:sz w:val="24"/>
          <w:szCs w:val="24"/>
        </w:rPr>
        <w:t>，经双方协商，达成如下协议，</w:t>
      </w:r>
      <w:r>
        <w:rPr>
          <w:rFonts w:hint="eastAsia" w:ascii="宋体" w:hAnsi="宋体" w:cs="宋体"/>
          <w:sz w:val="24"/>
          <w:szCs w:val="24"/>
          <w:lang w:val="en-US" w:eastAsia="zh-CN"/>
        </w:rPr>
        <w:t>供</w:t>
      </w:r>
      <w:r>
        <w:rPr>
          <w:rFonts w:hint="eastAsia" w:ascii="宋体" w:hAnsi="宋体" w:cs="宋体"/>
          <w:sz w:val="24"/>
          <w:szCs w:val="24"/>
        </w:rPr>
        <w:t>双方共同遵守。</w:t>
      </w:r>
    </w:p>
    <w:p>
      <w:pPr>
        <w:keepNext w:val="0"/>
        <w:keepLines w:val="0"/>
        <w:pageBreakBefore w:val="0"/>
        <w:widowControl w:val="0"/>
        <w:kinsoku w:val="0"/>
        <w:wordWrap/>
        <w:overflowPunct w:val="0"/>
        <w:topLinePunct w:val="0"/>
        <w:autoSpaceDE/>
        <w:autoSpaceDN/>
        <w:bidi w:val="0"/>
        <w:adjustRightInd/>
        <w:snapToGrid/>
        <w:spacing w:line="400" w:lineRule="atLeast"/>
        <w:ind w:firstLine="480" w:firstLineChars="200"/>
        <w:jc w:val="left"/>
        <w:textAlignment w:val="auto"/>
        <w:rPr>
          <w:rFonts w:hint="eastAsia" w:ascii="宋体" w:hAnsi="宋体" w:cs="宋体" w:eastAsiaTheme="minorEastAsia"/>
          <w:sz w:val="24"/>
          <w:szCs w:val="24"/>
          <w:lang w:eastAsia="zh-CN"/>
        </w:rPr>
      </w:pPr>
      <w:r>
        <w:rPr>
          <w:rFonts w:hint="eastAsia" w:ascii="宋体" w:hAnsi="宋体" w:cs="宋体"/>
          <w:sz w:val="24"/>
          <w:szCs w:val="24"/>
        </w:rPr>
        <w:t>一、产品名称、规格、数量、单价、金额</w:t>
      </w:r>
      <w:r>
        <w:rPr>
          <w:rFonts w:hint="eastAsia" w:ascii="宋体" w:hAnsi="宋体" w:cs="宋体"/>
          <w:sz w:val="24"/>
          <w:szCs w:val="24"/>
          <w:lang w:eastAsia="zh-CN"/>
        </w:rPr>
        <w:t>：</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1465"/>
        <w:gridCol w:w="1465"/>
        <w:gridCol w:w="882"/>
        <w:gridCol w:w="882"/>
        <w:gridCol w:w="882"/>
        <w:gridCol w:w="1029"/>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77" w:type="pct"/>
            <w:noWrap w:val="0"/>
            <w:vAlign w:val="center"/>
          </w:tcPr>
          <w:p>
            <w:pPr>
              <w:jc w:val="center"/>
              <w:rPr>
                <w:rFonts w:ascii="宋体" w:hAnsi="宋体" w:cs="宋体"/>
                <w:bCs/>
                <w:sz w:val="21"/>
                <w:szCs w:val="21"/>
              </w:rPr>
            </w:pPr>
            <w:r>
              <w:rPr>
                <w:rFonts w:hint="eastAsia" w:ascii="宋体" w:hAnsi="宋体" w:cs="宋体"/>
                <w:bCs/>
                <w:sz w:val="21"/>
                <w:szCs w:val="21"/>
              </w:rPr>
              <w:t>序号</w:t>
            </w:r>
          </w:p>
        </w:tc>
        <w:tc>
          <w:tcPr>
            <w:tcW w:w="792" w:type="pct"/>
            <w:noWrap w:val="0"/>
            <w:vAlign w:val="center"/>
          </w:tcPr>
          <w:p>
            <w:pPr>
              <w:jc w:val="center"/>
              <w:rPr>
                <w:rFonts w:ascii="宋体" w:hAnsi="宋体" w:cs="宋体"/>
                <w:bCs/>
                <w:sz w:val="21"/>
                <w:szCs w:val="21"/>
              </w:rPr>
            </w:pPr>
            <w:r>
              <w:rPr>
                <w:rFonts w:hint="eastAsia" w:ascii="宋体" w:hAnsi="宋体" w:cs="宋体"/>
                <w:bCs/>
                <w:sz w:val="21"/>
                <w:szCs w:val="21"/>
              </w:rPr>
              <w:t>备件名称</w:t>
            </w:r>
          </w:p>
        </w:tc>
        <w:tc>
          <w:tcPr>
            <w:tcW w:w="792" w:type="pct"/>
            <w:noWrap w:val="0"/>
            <w:vAlign w:val="center"/>
          </w:tcPr>
          <w:p>
            <w:pPr>
              <w:jc w:val="center"/>
              <w:rPr>
                <w:rFonts w:ascii="宋体" w:hAnsi="宋体" w:cs="宋体"/>
                <w:bCs/>
                <w:sz w:val="21"/>
                <w:szCs w:val="21"/>
              </w:rPr>
            </w:pPr>
            <w:r>
              <w:rPr>
                <w:rFonts w:hint="eastAsia" w:ascii="宋体" w:hAnsi="宋体" w:cs="宋体"/>
                <w:bCs/>
                <w:sz w:val="21"/>
                <w:szCs w:val="21"/>
              </w:rPr>
              <w:t>规格型号</w:t>
            </w:r>
          </w:p>
        </w:tc>
        <w:tc>
          <w:tcPr>
            <w:tcW w:w="477" w:type="pct"/>
            <w:noWrap w:val="0"/>
            <w:vAlign w:val="center"/>
          </w:tcPr>
          <w:p>
            <w:pPr>
              <w:jc w:val="center"/>
              <w:rPr>
                <w:rFonts w:ascii="宋体" w:hAnsi="宋体" w:cs="宋体"/>
                <w:bCs/>
                <w:sz w:val="21"/>
                <w:szCs w:val="21"/>
              </w:rPr>
            </w:pPr>
            <w:r>
              <w:rPr>
                <w:rFonts w:hint="eastAsia" w:ascii="宋体" w:hAnsi="宋体" w:cs="宋体"/>
                <w:bCs/>
                <w:sz w:val="21"/>
                <w:szCs w:val="21"/>
              </w:rPr>
              <w:t>单位</w:t>
            </w:r>
          </w:p>
        </w:tc>
        <w:tc>
          <w:tcPr>
            <w:tcW w:w="477" w:type="pct"/>
            <w:noWrap w:val="0"/>
            <w:vAlign w:val="center"/>
          </w:tcPr>
          <w:p>
            <w:pPr>
              <w:jc w:val="center"/>
              <w:rPr>
                <w:rFonts w:ascii="宋体" w:hAnsi="宋体" w:cs="宋体"/>
                <w:bCs/>
                <w:sz w:val="21"/>
                <w:szCs w:val="21"/>
              </w:rPr>
            </w:pPr>
            <w:r>
              <w:rPr>
                <w:rFonts w:hint="eastAsia" w:ascii="宋体" w:hAnsi="宋体" w:cs="宋体"/>
                <w:bCs/>
                <w:sz w:val="21"/>
                <w:szCs w:val="21"/>
              </w:rPr>
              <w:t>数量</w:t>
            </w:r>
          </w:p>
        </w:tc>
        <w:tc>
          <w:tcPr>
            <w:tcW w:w="477" w:type="pct"/>
            <w:noWrap w:val="0"/>
            <w:vAlign w:val="center"/>
          </w:tcPr>
          <w:p>
            <w:pPr>
              <w:jc w:val="center"/>
              <w:rPr>
                <w:rFonts w:ascii="宋体" w:hAnsi="宋体" w:cs="宋体"/>
                <w:bCs/>
                <w:sz w:val="21"/>
                <w:szCs w:val="21"/>
              </w:rPr>
            </w:pPr>
            <w:r>
              <w:rPr>
                <w:rFonts w:hint="eastAsia" w:ascii="宋体" w:hAnsi="宋体" w:cs="宋体"/>
                <w:bCs/>
                <w:sz w:val="21"/>
                <w:szCs w:val="21"/>
              </w:rPr>
              <w:t>单价</w:t>
            </w:r>
          </w:p>
        </w:tc>
        <w:tc>
          <w:tcPr>
            <w:tcW w:w="556" w:type="pct"/>
            <w:noWrap w:val="0"/>
            <w:vAlign w:val="center"/>
          </w:tcPr>
          <w:p>
            <w:pPr>
              <w:jc w:val="center"/>
              <w:rPr>
                <w:rFonts w:ascii="宋体" w:hAnsi="宋体" w:cs="宋体"/>
                <w:bCs/>
                <w:sz w:val="21"/>
                <w:szCs w:val="21"/>
              </w:rPr>
            </w:pPr>
            <w:r>
              <w:rPr>
                <w:rFonts w:hint="eastAsia" w:ascii="宋体" w:hAnsi="宋体" w:cs="宋体"/>
                <w:bCs/>
                <w:sz w:val="21"/>
                <w:szCs w:val="21"/>
              </w:rPr>
              <w:t>金额</w:t>
            </w:r>
          </w:p>
        </w:tc>
        <w:tc>
          <w:tcPr>
            <w:tcW w:w="949" w:type="pct"/>
            <w:noWrap w:val="0"/>
            <w:vAlign w:val="center"/>
          </w:tcPr>
          <w:p>
            <w:pPr>
              <w:jc w:val="center"/>
              <w:rPr>
                <w:rFonts w:ascii="宋体" w:hAnsi="宋体" w:cs="宋体"/>
                <w:bCs/>
                <w:sz w:val="21"/>
                <w:szCs w:val="21"/>
              </w:rPr>
            </w:pPr>
            <w:r>
              <w:rPr>
                <w:rFonts w:hint="eastAsia" w:ascii="宋体" w:hAnsi="宋体" w:cs="宋体"/>
                <w:bCs/>
                <w:sz w:val="21"/>
                <w:szCs w:val="21"/>
              </w:rPr>
              <w:t>品牌及</w:t>
            </w:r>
            <w:r>
              <w:rPr>
                <w:rFonts w:ascii="宋体" w:hAnsi="宋体" w:cs="宋体"/>
                <w:bCs/>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7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宋体" w:hAnsi="宋体"/>
                <w:sz w:val="21"/>
                <w:szCs w:val="21"/>
              </w:rPr>
            </w:pPr>
            <w:r>
              <w:rPr>
                <w:rFonts w:hint="eastAsia" w:ascii="宋体" w:hAnsi="宋体"/>
                <w:sz w:val="21"/>
                <w:szCs w:val="21"/>
              </w:rPr>
              <w:t>1</w:t>
            </w:r>
          </w:p>
        </w:tc>
        <w:tc>
          <w:tcPr>
            <w:tcW w:w="792" w:type="pct"/>
            <w:tcBorders>
              <w:top w:val="single" w:color="auto" w:sz="4" w:space="0"/>
              <w:left w:val="nil"/>
              <w:bottom w:val="single" w:color="auto" w:sz="4" w:space="0"/>
              <w:right w:val="single" w:color="auto" w:sz="4" w:space="0"/>
            </w:tcBorders>
            <w:shd w:val="clear" w:color="000000" w:fill="FFFFFF"/>
            <w:noWrap w:val="0"/>
            <w:vAlign w:val="center"/>
          </w:tcPr>
          <w:p>
            <w:pPr>
              <w:jc w:val="center"/>
              <w:rPr>
                <w:rFonts w:hint="eastAsia" w:ascii="宋体" w:hAnsi="宋体"/>
                <w:sz w:val="21"/>
                <w:szCs w:val="21"/>
              </w:rPr>
            </w:pPr>
          </w:p>
        </w:tc>
        <w:tc>
          <w:tcPr>
            <w:tcW w:w="792" w:type="pct"/>
            <w:tcBorders>
              <w:top w:val="single" w:color="auto" w:sz="4" w:space="0"/>
              <w:left w:val="nil"/>
              <w:bottom w:val="single" w:color="auto" w:sz="4" w:space="0"/>
              <w:right w:val="single" w:color="auto" w:sz="4" w:space="0"/>
            </w:tcBorders>
            <w:shd w:val="clear" w:color="000000" w:fill="FFFFFF"/>
            <w:noWrap w:val="0"/>
            <w:vAlign w:val="center"/>
          </w:tcPr>
          <w:p>
            <w:pPr>
              <w:jc w:val="left"/>
              <w:rPr>
                <w:rFonts w:hint="eastAsia" w:ascii="宋体" w:hAnsi="宋体"/>
                <w:sz w:val="21"/>
                <w:szCs w:val="21"/>
              </w:rPr>
            </w:pPr>
          </w:p>
        </w:tc>
        <w:tc>
          <w:tcPr>
            <w:tcW w:w="477" w:type="pct"/>
            <w:tcBorders>
              <w:top w:val="nil"/>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sz w:val="21"/>
                <w:szCs w:val="21"/>
              </w:rPr>
            </w:pPr>
            <w:r>
              <w:rPr>
                <w:rFonts w:hint="eastAsia" w:ascii="宋体" w:hAnsi="宋体"/>
                <w:sz w:val="21"/>
                <w:szCs w:val="21"/>
              </w:rPr>
              <w:t>台</w:t>
            </w:r>
          </w:p>
        </w:tc>
        <w:tc>
          <w:tcPr>
            <w:tcW w:w="477" w:type="pct"/>
            <w:tcBorders>
              <w:top w:val="nil"/>
              <w:left w:val="nil"/>
              <w:bottom w:val="single" w:color="auto" w:sz="4" w:space="0"/>
              <w:right w:val="single" w:color="auto" w:sz="4" w:space="0"/>
            </w:tcBorders>
            <w:shd w:val="clear" w:color="000000" w:fill="FFFFFF"/>
            <w:noWrap w:val="0"/>
            <w:vAlign w:val="center"/>
          </w:tcPr>
          <w:p>
            <w:pPr>
              <w:jc w:val="center"/>
              <w:rPr>
                <w:rFonts w:ascii="宋体" w:hAnsi="宋体"/>
                <w:sz w:val="21"/>
                <w:szCs w:val="21"/>
              </w:rPr>
            </w:pPr>
          </w:p>
        </w:tc>
        <w:tc>
          <w:tcPr>
            <w:tcW w:w="477" w:type="pct"/>
            <w:tcBorders>
              <w:top w:val="nil"/>
              <w:left w:val="nil"/>
              <w:bottom w:val="single" w:color="auto" w:sz="4" w:space="0"/>
              <w:right w:val="single" w:color="auto" w:sz="4" w:space="0"/>
            </w:tcBorders>
            <w:shd w:val="clear" w:color="000000" w:fill="FFFFFF"/>
            <w:noWrap w:val="0"/>
            <w:vAlign w:val="center"/>
          </w:tcPr>
          <w:p>
            <w:pPr>
              <w:jc w:val="center"/>
              <w:rPr>
                <w:rFonts w:ascii="宋体" w:hAnsi="宋体"/>
                <w:color w:val="000000"/>
                <w:sz w:val="21"/>
                <w:szCs w:val="21"/>
              </w:rPr>
            </w:pPr>
          </w:p>
        </w:tc>
        <w:tc>
          <w:tcPr>
            <w:tcW w:w="556" w:type="pct"/>
            <w:tcBorders>
              <w:top w:val="nil"/>
              <w:left w:val="nil"/>
              <w:bottom w:val="single" w:color="auto" w:sz="4" w:space="0"/>
              <w:right w:val="single" w:color="auto" w:sz="4" w:space="0"/>
            </w:tcBorders>
            <w:shd w:val="clear" w:color="000000" w:fill="FFFFFF"/>
            <w:noWrap w:val="0"/>
            <w:vAlign w:val="center"/>
          </w:tcPr>
          <w:p>
            <w:pPr>
              <w:jc w:val="center"/>
              <w:rPr>
                <w:rFonts w:ascii="宋体" w:hAnsi="宋体"/>
                <w:color w:val="000000"/>
                <w:sz w:val="21"/>
                <w:szCs w:val="21"/>
              </w:rPr>
            </w:pPr>
          </w:p>
        </w:tc>
        <w:tc>
          <w:tcPr>
            <w:tcW w:w="949" w:type="pct"/>
            <w:vMerge w:val="restart"/>
            <w:tcBorders>
              <w:left w:val="nil"/>
              <w:right w:val="single" w:color="auto" w:sz="4" w:space="0"/>
            </w:tcBorders>
            <w:noWrap w:val="0"/>
            <w:vAlign w:val="center"/>
          </w:tcPr>
          <w:p>
            <w:pPr>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7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kern w:val="0"/>
                <w:sz w:val="21"/>
                <w:szCs w:val="21"/>
              </w:rPr>
            </w:pPr>
            <w:r>
              <w:rPr>
                <w:rFonts w:ascii="宋体" w:hAnsi="宋体"/>
                <w:sz w:val="21"/>
                <w:szCs w:val="21"/>
              </w:rPr>
              <w:t>2</w:t>
            </w:r>
          </w:p>
        </w:tc>
        <w:tc>
          <w:tcPr>
            <w:tcW w:w="792" w:type="pct"/>
            <w:tcBorders>
              <w:top w:val="single" w:color="auto" w:sz="4" w:space="0"/>
              <w:left w:val="nil"/>
              <w:bottom w:val="single" w:color="auto" w:sz="4" w:space="0"/>
              <w:right w:val="single" w:color="auto" w:sz="4" w:space="0"/>
            </w:tcBorders>
            <w:shd w:val="clear" w:color="000000" w:fill="FFFFFF"/>
            <w:noWrap w:val="0"/>
            <w:vAlign w:val="center"/>
          </w:tcPr>
          <w:p>
            <w:pPr>
              <w:jc w:val="center"/>
              <w:rPr>
                <w:rFonts w:ascii="宋体" w:hAnsi="宋体"/>
                <w:sz w:val="21"/>
                <w:szCs w:val="21"/>
              </w:rPr>
            </w:pPr>
          </w:p>
        </w:tc>
        <w:tc>
          <w:tcPr>
            <w:tcW w:w="792" w:type="pct"/>
            <w:tcBorders>
              <w:top w:val="single" w:color="auto" w:sz="4" w:space="0"/>
              <w:left w:val="nil"/>
              <w:bottom w:val="single" w:color="auto" w:sz="4" w:space="0"/>
              <w:right w:val="single" w:color="auto" w:sz="4" w:space="0"/>
            </w:tcBorders>
            <w:shd w:val="clear" w:color="000000" w:fill="FFFFFF"/>
            <w:noWrap w:val="0"/>
            <w:vAlign w:val="center"/>
          </w:tcPr>
          <w:p>
            <w:pPr>
              <w:jc w:val="left"/>
              <w:rPr>
                <w:rFonts w:ascii="宋体" w:hAnsi="宋体"/>
                <w:sz w:val="21"/>
                <w:szCs w:val="21"/>
              </w:rPr>
            </w:pPr>
          </w:p>
        </w:tc>
        <w:tc>
          <w:tcPr>
            <w:tcW w:w="477" w:type="pct"/>
            <w:tcBorders>
              <w:top w:val="nil"/>
              <w:left w:val="single" w:color="auto" w:sz="4" w:space="0"/>
              <w:bottom w:val="single" w:color="auto" w:sz="4" w:space="0"/>
              <w:right w:val="single" w:color="auto" w:sz="4" w:space="0"/>
            </w:tcBorders>
            <w:shd w:val="clear" w:color="000000" w:fill="FFFFFF"/>
            <w:noWrap w:val="0"/>
            <w:vAlign w:val="center"/>
          </w:tcPr>
          <w:p>
            <w:pPr>
              <w:jc w:val="center"/>
              <w:rPr>
                <w:rFonts w:ascii="宋体" w:hAnsi="宋体"/>
                <w:color w:val="000000"/>
                <w:sz w:val="21"/>
                <w:szCs w:val="21"/>
              </w:rPr>
            </w:pPr>
            <w:r>
              <w:rPr>
                <w:rFonts w:hint="eastAsia" w:ascii="宋体" w:hAnsi="宋体"/>
                <w:sz w:val="21"/>
                <w:szCs w:val="21"/>
              </w:rPr>
              <w:t>台</w:t>
            </w:r>
          </w:p>
        </w:tc>
        <w:tc>
          <w:tcPr>
            <w:tcW w:w="477" w:type="pct"/>
            <w:tcBorders>
              <w:top w:val="nil"/>
              <w:left w:val="nil"/>
              <w:bottom w:val="single" w:color="auto" w:sz="4" w:space="0"/>
              <w:right w:val="single" w:color="auto" w:sz="4" w:space="0"/>
            </w:tcBorders>
            <w:shd w:val="clear" w:color="000000" w:fill="FFFFFF"/>
            <w:noWrap w:val="0"/>
            <w:vAlign w:val="center"/>
          </w:tcPr>
          <w:p>
            <w:pPr>
              <w:jc w:val="center"/>
              <w:rPr>
                <w:rFonts w:ascii="宋体" w:hAnsi="宋体"/>
                <w:color w:val="000000"/>
                <w:sz w:val="21"/>
                <w:szCs w:val="21"/>
              </w:rPr>
            </w:pPr>
          </w:p>
        </w:tc>
        <w:tc>
          <w:tcPr>
            <w:tcW w:w="477" w:type="pct"/>
            <w:tcBorders>
              <w:top w:val="nil"/>
              <w:left w:val="nil"/>
              <w:bottom w:val="single" w:color="auto" w:sz="4" w:space="0"/>
              <w:right w:val="single" w:color="auto" w:sz="4" w:space="0"/>
            </w:tcBorders>
            <w:shd w:val="clear" w:color="000000" w:fill="FFFFFF"/>
            <w:noWrap w:val="0"/>
            <w:vAlign w:val="center"/>
          </w:tcPr>
          <w:p>
            <w:pPr>
              <w:jc w:val="center"/>
              <w:rPr>
                <w:rFonts w:ascii="宋体" w:hAnsi="宋体"/>
                <w:color w:val="000000"/>
                <w:sz w:val="21"/>
                <w:szCs w:val="21"/>
              </w:rPr>
            </w:pPr>
          </w:p>
        </w:tc>
        <w:tc>
          <w:tcPr>
            <w:tcW w:w="556" w:type="pct"/>
            <w:tcBorders>
              <w:top w:val="nil"/>
              <w:left w:val="nil"/>
              <w:bottom w:val="single" w:color="auto" w:sz="4" w:space="0"/>
              <w:right w:val="single" w:color="auto" w:sz="4" w:space="0"/>
            </w:tcBorders>
            <w:shd w:val="clear" w:color="000000" w:fill="FFFFFF"/>
            <w:noWrap w:val="0"/>
            <w:vAlign w:val="center"/>
          </w:tcPr>
          <w:p>
            <w:pPr>
              <w:jc w:val="center"/>
              <w:rPr>
                <w:rFonts w:ascii="宋体" w:hAnsi="宋体"/>
                <w:color w:val="000000"/>
                <w:sz w:val="21"/>
                <w:szCs w:val="21"/>
              </w:rPr>
            </w:pPr>
          </w:p>
        </w:tc>
        <w:tc>
          <w:tcPr>
            <w:tcW w:w="949" w:type="pct"/>
            <w:vMerge w:val="continue"/>
            <w:tcBorders>
              <w:left w:val="nil"/>
              <w:right w:val="single" w:color="auto" w:sz="4" w:space="0"/>
            </w:tcBorders>
            <w:noWrap w:val="0"/>
            <w:vAlign w:val="center"/>
          </w:tcPr>
          <w:p>
            <w:pPr>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000" w:type="pct"/>
            <w:gridSpan w:val="8"/>
            <w:noWrap w:val="0"/>
            <w:vAlign w:val="center"/>
          </w:tcPr>
          <w:p>
            <w:pPr>
              <w:rPr>
                <w:rFonts w:ascii="宋体" w:hAnsi="宋体" w:cs="宋体"/>
                <w:bCs/>
                <w:sz w:val="24"/>
              </w:rPr>
            </w:pPr>
            <w:r>
              <w:rPr>
                <w:rFonts w:hint="eastAsia" w:ascii="宋体" w:hAnsi="宋体" w:cs="宋体"/>
                <w:bCs/>
                <w:sz w:val="21"/>
                <w:szCs w:val="21"/>
              </w:rPr>
              <w:t xml:space="preserve"> </w:t>
            </w:r>
            <w:r>
              <w:rPr>
                <w:rFonts w:hint="eastAsia" w:ascii="宋体" w:hAnsi="宋体" w:cs="宋体"/>
                <w:bCs/>
                <w:sz w:val="24"/>
              </w:rPr>
              <w:t>合计人民币：</w:t>
            </w:r>
            <w:r>
              <w:rPr>
                <w:rFonts w:hint="eastAsia" w:ascii="宋体" w:hAnsi="宋体" w:cs="宋体"/>
                <w:bCs/>
                <w:sz w:val="24"/>
                <w:lang w:val="en-US" w:eastAsia="zh-CN"/>
              </w:rPr>
              <w:t xml:space="preserve">  </w:t>
            </w:r>
            <w:r>
              <w:rPr>
                <w:rFonts w:hint="eastAsia" w:ascii="宋体" w:hAnsi="宋体" w:cs="宋体"/>
                <w:bCs/>
                <w:sz w:val="24"/>
              </w:rPr>
              <w:t>整（</w:t>
            </w:r>
            <w:r>
              <w:rPr>
                <w:rFonts w:ascii="宋体" w:hAnsi="宋体" w:cs="Arial"/>
                <w:bCs/>
                <w:sz w:val="24"/>
              </w:rPr>
              <w:t>¥</w:t>
            </w:r>
            <w:r>
              <w:rPr>
                <w:rFonts w:hint="eastAsia" w:ascii="宋体" w:hAnsi="宋体" w:cs="Arial"/>
                <w:bCs/>
                <w:sz w:val="24"/>
              </w:rPr>
              <w:t>：</w:t>
            </w:r>
            <w:r>
              <w:rPr>
                <w:rFonts w:hint="eastAsia" w:ascii="宋体" w:hAnsi="宋体" w:cs="宋体"/>
                <w:bCs/>
                <w:sz w:val="24"/>
              </w:rPr>
              <w:t>）含税</w:t>
            </w:r>
            <w:r>
              <w:rPr>
                <w:rFonts w:ascii="宋体" w:hAnsi="宋体" w:cs="宋体"/>
                <w:bCs/>
                <w:sz w:val="24"/>
              </w:rPr>
              <w:t>。</w:t>
            </w:r>
          </w:p>
        </w:tc>
      </w:tr>
    </w:tbl>
    <w:p>
      <w:pPr>
        <w:keepNext w:val="0"/>
        <w:keepLines w:val="0"/>
        <w:pageBreakBefore w:val="0"/>
        <w:widowControl w:val="0"/>
        <w:numPr>
          <w:ilvl w:val="0"/>
          <w:numId w:val="46"/>
        </w:numPr>
        <w:kinsoku w:val="0"/>
        <w:wordWrap/>
        <w:overflowPunct w:val="0"/>
        <w:topLinePunct w:val="0"/>
        <w:autoSpaceDE/>
        <w:autoSpaceDN/>
        <w:bidi w:val="0"/>
        <w:adjustRightInd/>
        <w:snapToGrid/>
        <w:spacing w:line="400" w:lineRule="atLeast"/>
        <w:ind w:firstLine="480" w:firstLineChars="200"/>
        <w:jc w:val="left"/>
        <w:textAlignment w:val="auto"/>
        <w:rPr>
          <w:rFonts w:hint="eastAsia" w:ascii="宋体" w:hAnsi="宋体" w:cs="宋体"/>
          <w:sz w:val="24"/>
          <w:szCs w:val="24"/>
        </w:rPr>
      </w:pPr>
      <w:r>
        <w:rPr>
          <w:rFonts w:hint="eastAsia" w:ascii="宋体" w:hAnsi="宋体" w:cs="宋体"/>
          <w:sz w:val="24"/>
          <w:szCs w:val="24"/>
        </w:rPr>
        <w:t>质量要求、技术标准：</w:t>
      </w:r>
      <w:r>
        <w:rPr>
          <w:rFonts w:hint="eastAsia" w:ascii="宋体" w:hAnsi="宋体" w:cs="宋体"/>
          <w:sz w:val="24"/>
          <w:szCs w:val="24"/>
          <w:lang w:val="en-US" w:eastAsia="zh-CN"/>
        </w:rPr>
        <w:t>以上</w:t>
      </w:r>
      <w:r>
        <w:rPr>
          <w:rFonts w:hint="eastAsia" w:ascii="宋体" w:hAnsi="宋体" w:cs="宋体"/>
          <w:sz w:val="24"/>
          <w:szCs w:val="24"/>
        </w:rPr>
        <w:t>备件及材料应严格按照需方标注的厂家品牌要求供应，产品必须是原厂家出厂并提供相应证明材料及出厂技术标准且符合需方使用等技术要求（附件）。</w:t>
      </w:r>
    </w:p>
    <w:p>
      <w:pPr>
        <w:keepNext w:val="0"/>
        <w:keepLines w:val="0"/>
        <w:pageBreakBefore w:val="0"/>
        <w:widowControl w:val="0"/>
        <w:kinsoku w:val="0"/>
        <w:wordWrap/>
        <w:overflowPunct w:val="0"/>
        <w:topLinePunct w:val="0"/>
        <w:autoSpaceDE/>
        <w:autoSpaceDN/>
        <w:bidi w:val="0"/>
        <w:adjustRightInd/>
        <w:snapToGrid/>
        <w:spacing w:line="400" w:lineRule="atLeast"/>
        <w:ind w:firstLine="480" w:firstLineChars="200"/>
        <w:jc w:val="left"/>
        <w:textAlignment w:val="auto"/>
        <w:rPr>
          <w:rFonts w:hint="eastAsia" w:ascii="宋体" w:hAnsi="宋体" w:cs="宋体"/>
          <w:sz w:val="24"/>
          <w:szCs w:val="24"/>
        </w:rPr>
      </w:pPr>
      <w:r>
        <w:rPr>
          <w:rFonts w:hint="eastAsia" w:ascii="宋体" w:hAnsi="宋体" w:cs="宋体"/>
          <w:sz w:val="24"/>
          <w:szCs w:val="24"/>
        </w:rPr>
        <w:t>三、交货方式、地点及费用：</w:t>
      </w:r>
    </w:p>
    <w:p>
      <w:pPr>
        <w:keepNext w:val="0"/>
        <w:keepLines w:val="0"/>
        <w:pageBreakBefore w:val="0"/>
        <w:widowControl w:val="0"/>
        <w:numPr>
          <w:ilvl w:val="0"/>
          <w:numId w:val="47"/>
        </w:numPr>
        <w:kinsoku w:val="0"/>
        <w:wordWrap/>
        <w:overflowPunct w:val="0"/>
        <w:topLinePunct w:val="0"/>
        <w:autoSpaceDE/>
        <w:autoSpaceDN/>
        <w:bidi w:val="0"/>
        <w:adjustRightInd/>
        <w:snapToGrid/>
        <w:spacing w:line="400" w:lineRule="atLeast"/>
        <w:ind w:left="0" w:leftChars="0" w:firstLine="480" w:firstLineChars="200"/>
        <w:jc w:val="left"/>
        <w:textAlignment w:val="auto"/>
        <w:rPr>
          <w:rFonts w:hint="eastAsia" w:ascii="宋体" w:hAnsi="宋体" w:cs="宋体"/>
          <w:sz w:val="24"/>
          <w:szCs w:val="24"/>
        </w:rPr>
      </w:pPr>
      <w:r>
        <w:rPr>
          <w:rFonts w:hint="eastAsia" w:ascii="宋体" w:hAnsi="宋体" w:cs="宋体"/>
          <w:sz w:val="24"/>
          <w:szCs w:val="24"/>
        </w:rPr>
        <w:t>包装标准: 木箱、纸箱包装，不回收。</w:t>
      </w:r>
    </w:p>
    <w:p>
      <w:pPr>
        <w:keepNext w:val="0"/>
        <w:keepLines w:val="0"/>
        <w:pageBreakBefore w:val="0"/>
        <w:widowControl w:val="0"/>
        <w:numPr>
          <w:ilvl w:val="0"/>
          <w:numId w:val="47"/>
        </w:numPr>
        <w:kinsoku w:val="0"/>
        <w:wordWrap/>
        <w:overflowPunct w:val="0"/>
        <w:topLinePunct w:val="0"/>
        <w:autoSpaceDE/>
        <w:autoSpaceDN/>
        <w:bidi w:val="0"/>
        <w:adjustRightInd/>
        <w:snapToGrid/>
        <w:spacing w:line="400" w:lineRule="atLeast"/>
        <w:ind w:left="0" w:leftChars="0" w:firstLine="480" w:firstLineChars="200"/>
        <w:jc w:val="left"/>
        <w:textAlignment w:val="auto"/>
        <w:rPr>
          <w:rFonts w:hint="eastAsia" w:ascii="宋体" w:hAnsi="宋体" w:cs="宋体"/>
          <w:sz w:val="24"/>
          <w:szCs w:val="24"/>
        </w:rPr>
      </w:pPr>
      <w:r>
        <w:rPr>
          <w:rFonts w:hint="eastAsia" w:ascii="宋体" w:hAnsi="宋体" w:cs="宋体"/>
          <w:sz w:val="24"/>
          <w:szCs w:val="24"/>
        </w:rPr>
        <w:t>交货期：合同签订后</w:t>
      </w:r>
      <w:r>
        <w:rPr>
          <w:rFonts w:hint="eastAsia" w:ascii="宋体" w:hAnsi="宋体" w:cs="宋体"/>
          <w:sz w:val="24"/>
          <w:szCs w:val="24"/>
          <w:lang w:val="en-US" w:eastAsia="zh-CN"/>
        </w:rPr>
        <w:t>30</w:t>
      </w:r>
      <w:r>
        <w:rPr>
          <w:rFonts w:hint="eastAsia" w:ascii="宋体" w:hAnsi="宋体" w:cs="宋体"/>
          <w:sz w:val="24"/>
          <w:szCs w:val="24"/>
        </w:rPr>
        <w:t>个日历日内，供方负责安全运输到需方厂区内指定地点（厦门市海沧区阳光西路288号厂区内），货物产权运至需方厂区内转交给需方，运输管理、运输风险、运输费用</w:t>
      </w:r>
      <w:r>
        <w:rPr>
          <w:rFonts w:hint="eastAsia" w:ascii="宋体" w:hAnsi="宋体" w:cs="宋体"/>
          <w:sz w:val="24"/>
          <w:szCs w:val="24"/>
          <w:lang w:val="en-US" w:eastAsia="zh-CN"/>
        </w:rPr>
        <w:t>及其全部风险</w:t>
      </w:r>
      <w:r>
        <w:rPr>
          <w:rFonts w:hint="eastAsia" w:ascii="宋体" w:hAnsi="宋体" w:cs="宋体"/>
          <w:sz w:val="24"/>
          <w:szCs w:val="24"/>
        </w:rPr>
        <w:t>等均由供方承担。</w:t>
      </w:r>
    </w:p>
    <w:p>
      <w:pPr>
        <w:keepNext w:val="0"/>
        <w:keepLines w:val="0"/>
        <w:pageBreakBefore w:val="0"/>
        <w:widowControl w:val="0"/>
        <w:kinsoku w:val="0"/>
        <w:wordWrap/>
        <w:overflowPunct w:val="0"/>
        <w:topLinePunct w:val="0"/>
        <w:autoSpaceDE/>
        <w:autoSpaceDN/>
        <w:bidi w:val="0"/>
        <w:adjustRightInd/>
        <w:snapToGrid/>
        <w:spacing w:line="400" w:lineRule="atLeast"/>
        <w:ind w:firstLine="480" w:firstLineChars="200"/>
        <w:jc w:val="left"/>
        <w:textAlignment w:val="auto"/>
        <w:rPr>
          <w:rFonts w:hint="eastAsia" w:ascii="宋体" w:hAnsi="宋体" w:cs="宋体"/>
          <w:sz w:val="24"/>
          <w:szCs w:val="24"/>
        </w:rPr>
      </w:pPr>
      <w:r>
        <w:rPr>
          <w:rFonts w:hint="eastAsia" w:ascii="宋体" w:hAnsi="宋体" w:cs="宋体"/>
          <w:sz w:val="24"/>
          <w:szCs w:val="24"/>
        </w:rPr>
        <w:t>四、货物验收：</w:t>
      </w:r>
    </w:p>
    <w:p>
      <w:pPr>
        <w:keepNext w:val="0"/>
        <w:keepLines w:val="0"/>
        <w:pageBreakBefore w:val="0"/>
        <w:widowControl w:val="0"/>
        <w:numPr>
          <w:ilvl w:val="0"/>
          <w:numId w:val="48"/>
        </w:numPr>
        <w:kinsoku w:val="0"/>
        <w:wordWrap/>
        <w:overflowPunct w:val="0"/>
        <w:topLinePunct w:val="0"/>
        <w:autoSpaceDE/>
        <w:autoSpaceDN/>
        <w:bidi w:val="0"/>
        <w:adjustRightInd/>
        <w:snapToGrid/>
        <w:spacing w:line="400" w:lineRule="atLeast"/>
        <w:ind w:left="0" w:leftChars="0" w:firstLine="480" w:firstLineChars="200"/>
        <w:jc w:val="left"/>
        <w:textAlignment w:val="auto"/>
        <w:rPr>
          <w:rFonts w:hint="eastAsia" w:ascii="宋体" w:hAnsi="宋体" w:cs="宋体"/>
          <w:sz w:val="24"/>
          <w:szCs w:val="24"/>
        </w:rPr>
      </w:pPr>
      <w:r>
        <w:rPr>
          <w:rFonts w:hint="eastAsia" w:ascii="宋体" w:hAnsi="宋体" w:cs="宋体"/>
          <w:sz w:val="24"/>
          <w:szCs w:val="24"/>
        </w:rPr>
        <w:t>供方应确保产品为原厂制造、全新未使用过的产品，不存在任何缺陷。</w:t>
      </w:r>
    </w:p>
    <w:p>
      <w:pPr>
        <w:keepNext w:val="0"/>
        <w:keepLines w:val="0"/>
        <w:pageBreakBefore w:val="0"/>
        <w:widowControl w:val="0"/>
        <w:numPr>
          <w:ilvl w:val="0"/>
          <w:numId w:val="48"/>
        </w:numPr>
        <w:kinsoku w:val="0"/>
        <w:wordWrap/>
        <w:overflowPunct w:val="0"/>
        <w:topLinePunct w:val="0"/>
        <w:autoSpaceDE/>
        <w:autoSpaceDN/>
        <w:bidi w:val="0"/>
        <w:adjustRightInd/>
        <w:snapToGrid/>
        <w:spacing w:line="400" w:lineRule="atLeast"/>
        <w:ind w:left="0" w:leftChars="0" w:firstLine="480" w:firstLineChars="200"/>
        <w:jc w:val="left"/>
        <w:textAlignment w:val="auto"/>
        <w:rPr>
          <w:rFonts w:hint="eastAsia" w:ascii="宋体" w:hAnsi="宋体" w:cs="宋体"/>
          <w:sz w:val="24"/>
          <w:szCs w:val="24"/>
        </w:rPr>
      </w:pPr>
      <w:r>
        <w:rPr>
          <w:rFonts w:hint="eastAsia" w:ascii="宋体" w:hAnsi="宋体" w:cs="宋体"/>
          <w:sz w:val="24"/>
          <w:szCs w:val="24"/>
        </w:rPr>
        <w:t>交货时需提供产品出厂合格证、产品技术参数、产品出厂检测报告、制造厂家授权书或原厂家对该产品的证明函等,所提供的产品及信息资料可追溯。</w:t>
      </w:r>
    </w:p>
    <w:p>
      <w:pPr>
        <w:keepNext w:val="0"/>
        <w:keepLines w:val="0"/>
        <w:pageBreakBefore w:val="0"/>
        <w:widowControl w:val="0"/>
        <w:numPr>
          <w:ilvl w:val="0"/>
          <w:numId w:val="48"/>
        </w:numPr>
        <w:kinsoku w:val="0"/>
        <w:wordWrap/>
        <w:overflowPunct w:val="0"/>
        <w:topLinePunct w:val="0"/>
        <w:autoSpaceDE/>
        <w:autoSpaceDN/>
        <w:bidi w:val="0"/>
        <w:adjustRightInd/>
        <w:snapToGrid/>
        <w:spacing w:line="400" w:lineRule="atLeast"/>
        <w:ind w:left="0" w:leftChars="0" w:firstLine="480" w:firstLineChars="200"/>
        <w:jc w:val="left"/>
        <w:textAlignment w:val="auto"/>
        <w:rPr>
          <w:rFonts w:hint="eastAsia" w:ascii="宋体" w:hAnsi="宋体" w:cs="宋体"/>
          <w:sz w:val="24"/>
          <w:szCs w:val="24"/>
        </w:rPr>
      </w:pPr>
      <w:r>
        <w:rPr>
          <w:rFonts w:hint="eastAsia" w:ascii="宋体" w:hAnsi="宋体" w:cs="宋体"/>
          <w:sz w:val="24"/>
          <w:szCs w:val="24"/>
        </w:rPr>
        <w:t xml:space="preserve">如供方提供的产品有破损缺陷、产品的技术资料有错误，视为延迟交货，供方应在  </w:t>
      </w:r>
      <w:r>
        <w:rPr>
          <w:rFonts w:hint="eastAsia" w:ascii="宋体" w:hAnsi="宋体" w:cs="宋体"/>
          <w:sz w:val="24"/>
          <w:szCs w:val="24"/>
          <w:u w:val="single"/>
        </w:rPr>
        <w:t>10个</w:t>
      </w:r>
      <w:r>
        <w:rPr>
          <w:rFonts w:hint="eastAsia" w:ascii="宋体" w:hAnsi="宋体" w:cs="宋体"/>
          <w:sz w:val="24"/>
          <w:szCs w:val="24"/>
        </w:rPr>
        <w:t>工作日内补齐材料。</w:t>
      </w:r>
    </w:p>
    <w:p>
      <w:pPr>
        <w:keepNext w:val="0"/>
        <w:keepLines w:val="0"/>
        <w:pageBreakBefore w:val="0"/>
        <w:widowControl w:val="0"/>
        <w:numPr>
          <w:ilvl w:val="0"/>
          <w:numId w:val="49"/>
        </w:numPr>
        <w:kinsoku w:val="0"/>
        <w:wordWrap/>
        <w:overflowPunct w:val="0"/>
        <w:topLinePunct w:val="0"/>
        <w:autoSpaceDE/>
        <w:autoSpaceDN/>
        <w:bidi w:val="0"/>
        <w:adjustRightInd/>
        <w:snapToGrid/>
        <w:spacing w:line="400" w:lineRule="atLeast"/>
        <w:ind w:firstLine="480" w:firstLineChars="200"/>
        <w:jc w:val="left"/>
        <w:textAlignment w:val="auto"/>
        <w:rPr>
          <w:rFonts w:hint="eastAsia" w:ascii="宋体" w:hAnsi="宋体" w:cs="宋体"/>
          <w:sz w:val="24"/>
          <w:szCs w:val="24"/>
        </w:rPr>
      </w:pPr>
      <w:r>
        <w:rPr>
          <w:rFonts w:hint="eastAsia" w:ascii="宋体" w:hAnsi="宋体" w:cs="宋体"/>
          <w:sz w:val="24"/>
          <w:szCs w:val="24"/>
        </w:rPr>
        <w:t xml:space="preserve">质保期: </w:t>
      </w:r>
    </w:p>
    <w:p>
      <w:pPr>
        <w:keepNext w:val="0"/>
        <w:keepLines w:val="0"/>
        <w:pageBreakBefore w:val="0"/>
        <w:widowControl w:val="0"/>
        <w:numPr>
          <w:ilvl w:val="0"/>
          <w:numId w:val="0"/>
        </w:numPr>
        <w:kinsoku w:val="0"/>
        <w:wordWrap/>
        <w:overflowPunct w:val="0"/>
        <w:topLinePunct w:val="0"/>
        <w:autoSpaceDE/>
        <w:autoSpaceDN/>
        <w:bidi w:val="0"/>
        <w:adjustRightInd/>
        <w:snapToGrid/>
        <w:spacing w:line="400" w:lineRule="atLeast"/>
        <w:ind w:firstLine="480" w:firstLineChars="200"/>
        <w:jc w:val="left"/>
        <w:textAlignment w:val="auto"/>
        <w:rPr>
          <w:rFonts w:hint="eastAsia" w:ascii="宋体" w:hAnsi="宋体" w:cs="宋体"/>
          <w:sz w:val="24"/>
          <w:szCs w:val="24"/>
        </w:rPr>
      </w:pPr>
      <w:r>
        <w:rPr>
          <w:rFonts w:hint="eastAsia" w:ascii="宋体" w:hAnsi="宋体" w:cs="宋体"/>
          <w:sz w:val="24"/>
          <w:szCs w:val="24"/>
          <w:lang w:val="en-US" w:eastAsia="zh-CN"/>
        </w:rPr>
        <w:t>质保期为需方收到货后</w:t>
      </w:r>
      <w:r>
        <w:rPr>
          <w:rFonts w:hint="eastAsia" w:ascii="宋体" w:hAnsi="宋体" w:cs="宋体"/>
          <w:sz w:val="24"/>
          <w:szCs w:val="24"/>
        </w:rPr>
        <w:t>18个月或</w:t>
      </w:r>
      <w:r>
        <w:rPr>
          <w:rFonts w:hint="eastAsia" w:ascii="宋体" w:hAnsi="宋体" w:cs="宋体"/>
          <w:sz w:val="24"/>
          <w:szCs w:val="24"/>
          <w:lang w:val="en-US" w:eastAsia="zh-CN"/>
        </w:rPr>
        <w:t>安装调试验收合格之日起</w:t>
      </w:r>
      <w:r>
        <w:rPr>
          <w:rFonts w:hint="eastAsia" w:ascii="宋体" w:hAnsi="宋体" w:cs="宋体"/>
          <w:sz w:val="24"/>
          <w:szCs w:val="24"/>
        </w:rPr>
        <w:t>12个月，以先到为准。质保期内</w:t>
      </w:r>
      <w:r>
        <w:rPr>
          <w:rFonts w:hint="eastAsia" w:ascii="宋体" w:hAnsi="宋体" w:cs="宋体"/>
          <w:sz w:val="24"/>
          <w:szCs w:val="24"/>
          <w:lang w:val="en-US" w:eastAsia="zh-CN"/>
        </w:rPr>
        <w:t>出现产品质量问题</w:t>
      </w:r>
      <w:r>
        <w:rPr>
          <w:rFonts w:hint="eastAsia" w:ascii="宋体" w:hAnsi="宋体" w:cs="宋体"/>
          <w:sz w:val="24"/>
          <w:szCs w:val="24"/>
        </w:rPr>
        <w:t>，</w:t>
      </w:r>
      <w:r>
        <w:rPr>
          <w:rFonts w:hint="eastAsia" w:ascii="宋体" w:hAnsi="宋体" w:cs="宋体"/>
          <w:sz w:val="24"/>
          <w:szCs w:val="24"/>
          <w:lang w:val="en-US" w:eastAsia="zh-CN"/>
        </w:rPr>
        <w:t>供方</w:t>
      </w:r>
      <w:r>
        <w:rPr>
          <w:rFonts w:hint="eastAsia" w:ascii="宋体" w:hAnsi="宋体" w:cs="宋体"/>
          <w:sz w:val="24"/>
          <w:szCs w:val="24"/>
        </w:rPr>
        <w:t>必须在24小时内</w:t>
      </w:r>
      <w:r>
        <w:rPr>
          <w:rFonts w:hint="eastAsia" w:ascii="宋体" w:hAnsi="宋体" w:cs="宋体"/>
          <w:sz w:val="24"/>
          <w:szCs w:val="24"/>
          <w:lang w:val="en-US" w:eastAsia="zh-CN"/>
        </w:rPr>
        <w:t>响应</w:t>
      </w:r>
      <w:r>
        <w:rPr>
          <w:rFonts w:hint="eastAsia" w:ascii="宋体" w:hAnsi="宋体" w:cs="宋体"/>
          <w:sz w:val="24"/>
          <w:szCs w:val="24"/>
        </w:rPr>
        <w:t>，</w:t>
      </w:r>
      <w:r>
        <w:rPr>
          <w:rFonts w:hint="eastAsia" w:ascii="宋体" w:hAnsi="宋体" w:cs="宋体"/>
          <w:sz w:val="24"/>
          <w:szCs w:val="24"/>
          <w:lang w:val="en-US" w:eastAsia="zh-CN"/>
        </w:rPr>
        <w:t>并进行无偿修复或更换</w:t>
      </w:r>
      <w:r>
        <w:rPr>
          <w:rFonts w:hint="eastAsia" w:ascii="宋体" w:hAnsi="宋体" w:cs="宋体"/>
          <w:sz w:val="24"/>
          <w:szCs w:val="24"/>
        </w:rPr>
        <w:t>。若</w:t>
      </w:r>
      <w:r>
        <w:rPr>
          <w:rFonts w:hint="eastAsia" w:ascii="宋体" w:hAnsi="宋体" w:cs="宋体"/>
          <w:sz w:val="24"/>
          <w:szCs w:val="24"/>
          <w:lang w:val="en-US" w:eastAsia="zh-CN"/>
        </w:rPr>
        <w:t>供</w:t>
      </w:r>
      <w:r>
        <w:rPr>
          <w:rFonts w:hint="eastAsia" w:ascii="宋体" w:hAnsi="宋体" w:cs="宋体"/>
          <w:sz w:val="24"/>
          <w:szCs w:val="24"/>
        </w:rPr>
        <w:t>方未履行质保义务的，</w:t>
      </w:r>
      <w:r>
        <w:rPr>
          <w:rFonts w:hint="eastAsia" w:ascii="宋体" w:hAnsi="宋体" w:cs="宋体"/>
          <w:sz w:val="24"/>
          <w:szCs w:val="24"/>
          <w:lang w:val="en-US" w:eastAsia="zh-CN"/>
        </w:rPr>
        <w:t>需</w:t>
      </w:r>
      <w:r>
        <w:rPr>
          <w:rFonts w:hint="eastAsia" w:ascii="宋体" w:hAnsi="宋体" w:cs="宋体"/>
          <w:sz w:val="24"/>
          <w:szCs w:val="24"/>
        </w:rPr>
        <w:t>方有权</w:t>
      </w:r>
      <w:r>
        <w:rPr>
          <w:rFonts w:hint="eastAsia" w:ascii="宋体" w:hAnsi="宋体" w:cs="宋体"/>
          <w:sz w:val="24"/>
          <w:szCs w:val="24"/>
          <w:lang w:val="en-US" w:eastAsia="zh-CN"/>
        </w:rPr>
        <w:t>委托</w:t>
      </w:r>
      <w:r>
        <w:rPr>
          <w:rFonts w:hint="eastAsia" w:ascii="宋体" w:hAnsi="宋体" w:cs="宋体"/>
          <w:sz w:val="24"/>
          <w:szCs w:val="24"/>
        </w:rPr>
        <w:t>第三方进行维修</w:t>
      </w:r>
      <w:r>
        <w:rPr>
          <w:rFonts w:hint="eastAsia" w:ascii="宋体" w:hAnsi="宋体" w:cs="宋体"/>
          <w:sz w:val="24"/>
          <w:szCs w:val="24"/>
          <w:lang w:val="en-US" w:eastAsia="zh-CN"/>
        </w:rPr>
        <w:t>或另行购买</w:t>
      </w:r>
      <w:r>
        <w:rPr>
          <w:rFonts w:hint="eastAsia" w:ascii="宋体" w:hAnsi="宋体" w:cs="宋体"/>
          <w:sz w:val="24"/>
          <w:szCs w:val="24"/>
        </w:rPr>
        <w:t>，由此</w:t>
      </w:r>
      <w:r>
        <w:rPr>
          <w:rFonts w:hint="eastAsia" w:ascii="宋体" w:hAnsi="宋体" w:cs="宋体"/>
          <w:sz w:val="24"/>
          <w:szCs w:val="24"/>
          <w:lang w:val="en-US" w:eastAsia="zh-CN"/>
        </w:rPr>
        <w:t>产</w:t>
      </w:r>
      <w:r>
        <w:rPr>
          <w:rFonts w:hint="eastAsia" w:ascii="宋体" w:hAnsi="宋体" w:cs="宋体"/>
          <w:sz w:val="24"/>
          <w:szCs w:val="24"/>
        </w:rPr>
        <w:t>生的费用和损失由</w:t>
      </w:r>
      <w:r>
        <w:rPr>
          <w:rFonts w:hint="eastAsia" w:ascii="宋体" w:hAnsi="宋体" w:cs="宋体"/>
          <w:sz w:val="24"/>
          <w:szCs w:val="24"/>
          <w:lang w:val="en-US" w:eastAsia="zh-CN"/>
        </w:rPr>
        <w:t>供方</w:t>
      </w:r>
      <w:r>
        <w:rPr>
          <w:rFonts w:hint="eastAsia" w:ascii="宋体" w:hAnsi="宋体" w:cs="宋体"/>
          <w:sz w:val="24"/>
          <w:szCs w:val="24"/>
        </w:rPr>
        <w:t>承担。</w:t>
      </w:r>
    </w:p>
    <w:p>
      <w:pPr>
        <w:keepNext w:val="0"/>
        <w:keepLines w:val="0"/>
        <w:pageBreakBefore w:val="0"/>
        <w:widowControl w:val="0"/>
        <w:numPr>
          <w:ilvl w:val="0"/>
          <w:numId w:val="49"/>
        </w:numPr>
        <w:kinsoku w:val="0"/>
        <w:wordWrap/>
        <w:overflowPunct w:val="0"/>
        <w:topLinePunct w:val="0"/>
        <w:autoSpaceDE/>
        <w:autoSpaceDN/>
        <w:bidi w:val="0"/>
        <w:adjustRightInd/>
        <w:snapToGrid/>
        <w:spacing w:line="400" w:lineRule="atLeast"/>
        <w:ind w:firstLine="480" w:firstLineChars="200"/>
        <w:jc w:val="left"/>
        <w:textAlignment w:val="auto"/>
        <w:rPr>
          <w:rFonts w:hint="eastAsia" w:ascii="宋体" w:hAnsi="宋体" w:cs="宋体"/>
          <w:sz w:val="24"/>
          <w:szCs w:val="24"/>
        </w:rPr>
      </w:pPr>
      <w:r>
        <w:rPr>
          <w:rFonts w:hint="eastAsia" w:ascii="宋体" w:hAnsi="宋体" w:cs="宋体"/>
          <w:sz w:val="24"/>
          <w:szCs w:val="24"/>
        </w:rPr>
        <w:t>结算方式：</w:t>
      </w:r>
    </w:p>
    <w:p>
      <w:pPr>
        <w:numPr>
          <w:ilvl w:val="0"/>
          <w:numId w:val="50"/>
        </w:numPr>
        <w:kinsoku w:val="0"/>
        <w:overflowPunct w:val="0"/>
        <w:adjustRightInd/>
        <w:spacing w:line="400" w:lineRule="atLeast"/>
        <w:ind w:left="0" w:leftChars="0" w:firstLine="397" w:firstLineChars="0"/>
        <w:jc w:val="left"/>
        <w:textAlignment w:val="auto"/>
        <w:rPr>
          <w:rFonts w:hint="eastAsia" w:ascii="宋体" w:hAnsi="宋体" w:cs="宋体"/>
          <w:sz w:val="24"/>
          <w:szCs w:val="24"/>
        </w:rPr>
      </w:pPr>
      <w:r>
        <w:rPr>
          <w:rFonts w:hint="eastAsia" w:ascii="宋体" w:hAnsi="宋体" w:cs="宋体"/>
          <w:sz w:val="24"/>
          <w:szCs w:val="24"/>
        </w:rPr>
        <w:t>货物到厂区后经需方核对检验合格，供方出具正规合法有效的</w:t>
      </w:r>
      <w:r>
        <w:rPr>
          <w:rFonts w:hint="eastAsia" w:ascii="宋体" w:hAnsi="宋体" w:cs="宋体"/>
          <w:sz w:val="24"/>
          <w:szCs w:val="24"/>
          <w:u w:val="single"/>
        </w:rPr>
        <w:t xml:space="preserve"> 13% </w:t>
      </w:r>
      <w:r>
        <w:rPr>
          <w:rFonts w:hint="eastAsia" w:ascii="宋体" w:hAnsi="宋体" w:cs="宋体"/>
          <w:sz w:val="24"/>
          <w:szCs w:val="24"/>
        </w:rPr>
        <w:t>增值税全额专用发票给需方，需方在书面核实无误后并在收到发票后</w:t>
      </w:r>
      <w:r>
        <w:rPr>
          <w:rFonts w:hint="eastAsia" w:ascii="宋体" w:hAnsi="宋体" w:cs="宋体"/>
          <w:sz w:val="24"/>
          <w:szCs w:val="24"/>
          <w:u w:val="single"/>
        </w:rPr>
        <w:t xml:space="preserve"> 15 </w:t>
      </w:r>
      <w:r>
        <w:rPr>
          <w:rFonts w:hint="eastAsia" w:ascii="宋体" w:hAnsi="宋体" w:cs="宋体"/>
          <w:sz w:val="24"/>
          <w:szCs w:val="24"/>
        </w:rPr>
        <w:t>个工作日内支付相应款项。</w:t>
      </w:r>
    </w:p>
    <w:p>
      <w:pPr>
        <w:numPr>
          <w:ilvl w:val="0"/>
          <w:numId w:val="50"/>
        </w:numPr>
        <w:kinsoku w:val="0"/>
        <w:overflowPunct w:val="0"/>
        <w:adjustRightInd/>
        <w:spacing w:line="400" w:lineRule="atLeast"/>
        <w:ind w:left="0" w:leftChars="0" w:firstLine="397" w:firstLineChars="0"/>
        <w:jc w:val="left"/>
        <w:textAlignment w:val="auto"/>
        <w:rPr>
          <w:rFonts w:hint="eastAsia" w:ascii="宋体" w:hAnsi="宋体" w:cs="宋体"/>
          <w:sz w:val="24"/>
          <w:szCs w:val="24"/>
        </w:rPr>
      </w:pPr>
      <w:r>
        <w:rPr>
          <w:rFonts w:hint="eastAsia" w:ascii="宋体" w:hAnsi="宋体" w:cs="宋体"/>
          <w:sz w:val="24"/>
          <w:szCs w:val="24"/>
        </w:rPr>
        <w:t>经供需双方协商一致，需方将原投标保证金</w:t>
      </w:r>
      <w:r>
        <w:rPr>
          <w:rFonts w:hint="eastAsia" w:ascii="宋体" w:hAnsi="宋体" w:cs="宋体"/>
          <w:sz w:val="24"/>
          <w:szCs w:val="24"/>
          <w:lang w:val="en-US" w:eastAsia="zh-CN"/>
        </w:rPr>
        <w:t>叁千</w:t>
      </w:r>
      <w:r>
        <w:rPr>
          <w:rFonts w:hint="eastAsia" w:ascii="宋体" w:hAnsi="宋体" w:cs="宋体"/>
          <w:sz w:val="24"/>
          <w:szCs w:val="24"/>
        </w:rPr>
        <w:t>元整（￥</w:t>
      </w:r>
      <w:r>
        <w:rPr>
          <w:rFonts w:hint="eastAsia" w:ascii="宋体" w:hAnsi="宋体" w:cs="宋体"/>
          <w:sz w:val="24"/>
          <w:szCs w:val="24"/>
          <w:lang w:val="en-US" w:eastAsia="zh-CN"/>
        </w:rPr>
        <w:t>3</w:t>
      </w:r>
      <w:r>
        <w:rPr>
          <w:rFonts w:hint="eastAsia" w:ascii="宋体" w:hAnsi="宋体" w:cs="宋体"/>
          <w:sz w:val="24"/>
          <w:szCs w:val="24"/>
        </w:rPr>
        <w:t>000.00元）直接转为合同履约金，收到货经需方核对检验合格后在</w:t>
      </w:r>
      <w:r>
        <w:rPr>
          <w:rFonts w:hint="eastAsia" w:ascii="宋体" w:hAnsi="宋体" w:cs="宋体"/>
          <w:sz w:val="24"/>
          <w:szCs w:val="24"/>
          <w:u w:val="single"/>
        </w:rPr>
        <w:t>10个</w:t>
      </w:r>
      <w:r>
        <w:rPr>
          <w:rFonts w:hint="eastAsia" w:ascii="宋体" w:hAnsi="宋体" w:cs="宋体"/>
          <w:sz w:val="24"/>
          <w:szCs w:val="24"/>
        </w:rPr>
        <w:t>工作日内无息退还。</w:t>
      </w:r>
    </w:p>
    <w:p>
      <w:pPr>
        <w:keepNext w:val="0"/>
        <w:keepLines w:val="0"/>
        <w:pageBreakBefore w:val="0"/>
        <w:widowControl w:val="0"/>
        <w:numPr>
          <w:ilvl w:val="0"/>
          <w:numId w:val="49"/>
        </w:numPr>
        <w:kinsoku w:val="0"/>
        <w:wordWrap/>
        <w:overflowPunct w:val="0"/>
        <w:topLinePunct w:val="0"/>
        <w:autoSpaceDE/>
        <w:autoSpaceDN/>
        <w:bidi w:val="0"/>
        <w:adjustRightInd/>
        <w:snapToGrid/>
        <w:spacing w:line="400" w:lineRule="atLeast"/>
        <w:ind w:firstLine="480" w:firstLineChars="200"/>
        <w:jc w:val="left"/>
        <w:textAlignment w:val="auto"/>
        <w:rPr>
          <w:rFonts w:hint="eastAsia" w:ascii="宋体" w:hAnsi="宋体" w:cs="宋体"/>
          <w:sz w:val="24"/>
          <w:szCs w:val="24"/>
        </w:rPr>
      </w:pPr>
      <w:r>
        <w:rPr>
          <w:rFonts w:hint="eastAsia" w:ascii="宋体" w:hAnsi="宋体" w:cs="宋体"/>
          <w:sz w:val="24"/>
          <w:szCs w:val="24"/>
        </w:rPr>
        <w:t>安装、调试及检验：无。</w:t>
      </w:r>
    </w:p>
    <w:p>
      <w:pPr>
        <w:keepNext w:val="0"/>
        <w:keepLines w:val="0"/>
        <w:pageBreakBefore w:val="0"/>
        <w:widowControl w:val="0"/>
        <w:numPr>
          <w:ilvl w:val="0"/>
          <w:numId w:val="49"/>
        </w:numPr>
        <w:kinsoku w:val="0"/>
        <w:wordWrap/>
        <w:overflowPunct w:val="0"/>
        <w:topLinePunct w:val="0"/>
        <w:autoSpaceDE/>
        <w:autoSpaceDN/>
        <w:bidi w:val="0"/>
        <w:adjustRightInd/>
        <w:snapToGrid/>
        <w:spacing w:line="400" w:lineRule="atLeast"/>
        <w:ind w:firstLine="480" w:firstLineChars="200"/>
        <w:jc w:val="left"/>
        <w:textAlignment w:val="auto"/>
        <w:rPr>
          <w:rFonts w:hint="eastAsia" w:ascii="宋体" w:hAnsi="宋体" w:cs="宋体"/>
          <w:sz w:val="24"/>
          <w:szCs w:val="24"/>
        </w:rPr>
      </w:pPr>
      <w:r>
        <w:rPr>
          <w:rFonts w:hint="eastAsia" w:ascii="宋体" w:hAnsi="宋体" w:cs="宋体"/>
          <w:sz w:val="24"/>
          <w:szCs w:val="24"/>
        </w:rPr>
        <w:t>违约责任：</w:t>
      </w:r>
    </w:p>
    <w:p>
      <w:pPr>
        <w:numPr>
          <w:ilvl w:val="0"/>
          <w:numId w:val="51"/>
        </w:numPr>
        <w:kinsoku w:val="0"/>
        <w:overflowPunct w:val="0"/>
        <w:adjustRightInd/>
        <w:spacing w:line="400" w:lineRule="atLeast"/>
        <w:ind w:left="0" w:leftChars="0" w:firstLine="397" w:firstLineChars="0"/>
        <w:jc w:val="left"/>
        <w:textAlignment w:val="auto"/>
        <w:rPr>
          <w:rFonts w:hint="eastAsia" w:ascii="宋体" w:hAnsi="宋体" w:cs="宋体"/>
          <w:sz w:val="24"/>
          <w:szCs w:val="24"/>
        </w:rPr>
      </w:pPr>
      <w:r>
        <w:rPr>
          <w:rFonts w:hint="eastAsia" w:ascii="宋体" w:hAnsi="宋体" w:cs="宋体"/>
          <w:sz w:val="24"/>
          <w:szCs w:val="24"/>
        </w:rPr>
        <w:t>供方须严格按照本合同约定的或者需方通知的时间和数量、 质量执行。 供方产品质量不符合合同规定的必须负责立即无偿修复或更换，费用由供方承担，供方还应承担合同总价款</w:t>
      </w:r>
      <w:r>
        <w:rPr>
          <w:rFonts w:hint="eastAsia" w:ascii="宋体" w:hAnsi="宋体" w:cs="宋体"/>
          <w:sz w:val="24"/>
          <w:szCs w:val="24"/>
          <w:u w:val="single"/>
        </w:rPr>
        <w:t xml:space="preserve"> 10% </w:t>
      </w:r>
      <w:r>
        <w:rPr>
          <w:rFonts w:hint="eastAsia" w:ascii="宋体" w:hAnsi="宋体" w:cs="宋体"/>
          <w:sz w:val="24"/>
          <w:szCs w:val="24"/>
        </w:rPr>
        <w:t>的违约金；逾期超</w:t>
      </w:r>
      <w:r>
        <w:rPr>
          <w:rFonts w:hint="eastAsia" w:ascii="宋体" w:hAnsi="宋体" w:cs="宋体"/>
          <w:sz w:val="24"/>
          <w:szCs w:val="24"/>
          <w:u w:val="single"/>
        </w:rPr>
        <w:t xml:space="preserve"> 30</w:t>
      </w:r>
      <w:r>
        <w:rPr>
          <w:rFonts w:hint="eastAsia" w:ascii="宋体" w:hAnsi="宋体" w:cs="宋体"/>
          <w:sz w:val="24"/>
          <w:szCs w:val="24"/>
        </w:rPr>
        <w:t>天未处理的需方还有权单方面解除合同，供方除应返还需方已支付的款项外，供方并应向需方支付合同总价款</w:t>
      </w:r>
      <w:r>
        <w:rPr>
          <w:rFonts w:hint="eastAsia" w:ascii="宋体" w:hAnsi="宋体" w:cs="宋体"/>
          <w:sz w:val="24"/>
          <w:szCs w:val="24"/>
          <w:u w:val="single"/>
        </w:rPr>
        <w:t xml:space="preserve"> 10%</w:t>
      </w:r>
      <w:r>
        <w:rPr>
          <w:rFonts w:hint="eastAsia" w:ascii="宋体" w:hAnsi="宋体" w:cs="宋体"/>
          <w:sz w:val="24"/>
          <w:szCs w:val="24"/>
          <w:u w:val="single"/>
          <w:lang w:val="en-US" w:eastAsia="zh-CN"/>
        </w:rPr>
        <w:t xml:space="preserve"> </w:t>
      </w:r>
      <w:r>
        <w:rPr>
          <w:rFonts w:hint="eastAsia" w:ascii="宋体" w:hAnsi="宋体" w:cs="宋体"/>
          <w:sz w:val="24"/>
          <w:szCs w:val="24"/>
        </w:rPr>
        <w:t>的违约金，违约金不足赔偿供方损失的，供方还应赔偿需方相关经济损失。</w:t>
      </w:r>
    </w:p>
    <w:p>
      <w:pPr>
        <w:numPr>
          <w:ilvl w:val="0"/>
          <w:numId w:val="51"/>
        </w:numPr>
        <w:kinsoku w:val="0"/>
        <w:overflowPunct w:val="0"/>
        <w:adjustRightInd/>
        <w:spacing w:line="400" w:lineRule="atLeast"/>
        <w:ind w:left="0" w:leftChars="0" w:firstLine="397" w:firstLineChars="0"/>
        <w:jc w:val="left"/>
        <w:textAlignment w:val="auto"/>
        <w:rPr>
          <w:rFonts w:hint="eastAsia" w:ascii="宋体" w:hAnsi="宋体" w:cs="宋体"/>
          <w:sz w:val="24"/>
          <w:szCs w:val="24"/>
        </w:rPr>
      </w:pPr>
      <w:r>
        <w:rPr>
          <w:rFonts w:hint="eastAsia" w:ascii="宋体" w:hAnsi="宋体" w:cs="宋体"/>
          <w:sz w:val="24"/>
          <w:szCs w:val="24"/>
        </w:rPr>
        <w:t>供方若延迟交货，须承担总价款每日千分之五的违约金。逾期五个工作日，需方有权单方解除合同，供方除应返还需方已支付的款项外，供方并应向需方支付合同总价款</w:t>
      </w:r>
      <w:r>
        <w:rPr>
          <w:rFonts w:hint="eastAsia" w:ascii="宋体" w:hAnsi="宋体" w:cs="宋体"/>
          <w:sz w:val="24"/>
          <w:szCs w:val="24"/>
          <w:u w:val="single"/>
        </w:rPr>
        <w:t xml:space="preserve"> 10% </w:t>
      </w:r>
      <w:r>
        <w:rPr>
          <w:rFonts w:hint="eastAsia" w:ascii="宋体" w:hAnsi="宋体" w:cs="宋体"/>
          <w:sz w:val="24"/>
          <w:szCs w:val="24"/>
        </w:rPr>
        <w:t>的违约金。以上违约金等费用需方可以直接从供方的货款中扣除 ，但不免除供方违约责任。</w:t>
      </w:r>
    </w:p>
    <w:p>
      <w:pPr>
        <w:keepNext w:val="0"/>
        <w:keepLines w:val="0"/>
        <w:pageBreakBefore w:val="0"/>
        <w:widowControl w:val="0"/>
        <w:numPr>
          <w:ilvl w:val="0"/>
          <w:numId w:val="49"/>
        </w:numPr>
        <w:kinsoku w:val="0"/>
        <w:wordWrap/>
        <w:overflowPunct w:val="0"/>
        <w:topLinePunct w:val="0"/>
        <w:autoSpaceDE/>
        <w:autoSpaceDN/>
        <w:bidi w:val="0"/>
        <w:adjustRightInd/>
        <w:snapToGrid/>
        <w:spacing w:line="400" w:lineRule="atLeast"/>
        <w:ind w:firstLine="480" w:firstLineChars="200"/>
        <w:jc w:val="left"/>
        <w:textAlignment w:val="auto"/>
        <w:rPr>
          <w:rFonts w:hint="eastAsia" w:ascii="宋体" w:hAnsi="宋体" w:cs="宋体"/>
          <w:sz w:val="24"/>
          <w:szCs w:val="24"/>
        </w:rPr>
      </w:pPr>
      <w:r>
        <w:rPr>
          <w:rFonts w:hint="eastAsia" w:ascii="宋体" w:hAnsi="宋体" w:cs="宋体"/>
          <w:sz w:val="24"/>
          <w:szCs w:val="24"/>
        </w:rPr>
        <w:t>合同争议的解决方式：本合同在履行过程中发生的争议，由双方当事人协商解决，协商、调解不成的，可依法向需方所在地有管辖权的人民法院起诉。</w:t>
      </w:r>
    </w:p>
    <w:p>
      <w:pPr>
        <w:keepNext w:val="0"/>
        <w:keepLines w:val="0"/>
        <w:pageBreakBefore w:val="0"/>
        <w:widowControl w:val="0"/>
        <w:numPr>
          <w:ilvl w:val="0"/>
          <w:numId w:val="49"/>
        </w:numPr>
        <w:kinsoku w:val="0"/>
        <w:wordWrap/>
        <w:overflowPunct w:val="0"/>
        <w:topLinePunct w:val="0"/>
        <w:autoSpaceDE/>
        <w:autoSpaceDN/>
        <w:bidi w:val="0"/>
        <w:adjustRightInd/>
        <w:snapToGrid/>
        <w:spacing w:line="400" w:lineRule="atLeast"/>
        <w:ind w:firstLine="480" w:firstLineChars="200"/>
        <w:jc w:val="left"/>
        <w:textAlignment w:val="auto"/>
        <w:rPr>
          <w:rFonts w:hint="eastAsia" w:ascii="宋体" w:hAnsi="宋体" w:cs="宋体"/>
          <w:sz w:val="24"/>
          <w:szCs w:val="24"/>
        </w:rPr>
      </w:pPr>
      <w:r>
        <w:rPr>
          <w:rFonts w:hint="eastAsia" w:ascii="宋体" w:hAnsi="宋体" w:cs="宋体"/>
          <w:sz w:val="24"/>
          <w:szCs w:val="24"/>
        </w:rPr>
        <w:t>其他：</w:t>
      </w:r>
    </w:p>
    <w:p>
      <w:pPr>
        <w:numPr>
          <w:ilvl w:val="0"/>
          <w:numId w:val="52"/>
        </w:numPr>
        <w:kinsoku w:val="0"/>
        <w:overflowPunct w:val="0"/>
        <w:adjustRightInd/>
        <w:spacing w:line="400" w:lineRule="atLeast"/>
        <w:ind w:left="0" w:leftChars="0" w:firstLine="397" w:firstLineChars="0"/>
        <w:jc w:val="left"/>
        <w:textAlignment w:val="auto"/>
        <w:rPr>
          <w:rFonts w:hint="eastAsia" w:ascii="宋体" w:hAnsi="宋体" w:cs="宋体"/>
          <w:sz w:val="24"/>
          <w:szCs w:val="24"/>
        </w:rPr>
      </w:pPr>
      <w:r>
        <w:rPr>
          <w:rFonts w:hint="eastAsia" w:ascii="宋体" w:hAnsi="宋体" w:cs="宋体"/>
          <w:sz w:val="24"/>
          <w:szCs w:val="24"/>
        </w:rPr>
        <w:t>本合同自签订之日起生效。</w:t>
      </w:r>
    </w:p>
    <w:p>
      <w:pPr>
        <w:numPr>
          <w:ilvl w:val="0"/>
          <w:numId w:val="52"/>
        </w:numPr>
        <w:kinsoku w:val="0"/>
        <w:overflowPunct w:val="0"/>
        <w:adjustRightInd/>
        <w:spacing w:line="400" w:lineRule="atLeast"/>
        <w:ind w:left="0" w:leftChars="0" w:firstLine="397" w:firstLineChars="0"/>
        <w:jc w:val="left"/>
        <w:textAlignment w:val="auto"/>
        <w:rPr>
          <w:rFonts w:hint="eastAsia" w:ascii="宋体" w:hAnsi="宋体" w:cs="宋体"/>
          <w:sz w:val="24"/>
          <w:szCs w:val="24"/>
        </w:rPr>
      </w:pPr>
      <w:r>
        <w:rPr>
          <w:rFonts w:hint="eastAsia" w:ascii="宋体" w:hAnsi="宋体" w:cs="宋体"/>
          <w:sz w:val="24"/>
          <w:szCs w:val="24"/>
        </w:rPr>
        <w:t>本合同一式两份，双方各执一份，具有同等法律效力。</w:t>
      </w:r>
    </w:p>
    <w:p>
      <w:pPr>
        <w:numPr>
          <w:ilvl w:val="0"/>
          <w:numId w:val="52"/>
        </w:numPr>
        <w:kinsoku w:val="0"/>
        <w:overflowPunct w:val="0"/>
        <w:adjustRightInd/>
        <w:spacing w:line="400" w:lineRule="atLeast"/>
        <w:ind w:left="0" w:leftChars="0" w:firstLine="397" w:firstLineChars="0"/>
        <w:jc w:val="left"/>
        <w:textAlignment w:val="auto"/>
        <w:rPr>
          <w:rFonts w:hint="eastAsia" w:ascii="宋体" w:hAnsi="宋体" w:cs="宋体"/>
          <w:sz w:val="24"/>
          <w:szCs w:val="24"/>
        </w:rPr>
      </w:pPr>
      <w:r>
        <w:rPr>
          <w:rFonts w:hint="eastAsia" w:ascii="宋体" w:hAnsi="宋体" w:cs="宋体"/>
          <w:sz w:val="24"/>
          <w:szCs w:val="24"/>
        </w:rPr>
        <w:t>本合同自双方代表签字，并加盖公章或合同专用章及法定代表人的签章（或持有法定代表人开具的授权委托书或其他有效的授权证明，授权证明为合同附件）即合同生效。</w:t>
      </w:r>
    </w:p>
    <w:p>
      <w:pPr>
        <w:pStyle w:val="2"/>
        <w:rPr>
          <w:rFonts w:hint="eastAsia" w:ascii="宋体" w:hAnsi="宋体"/>
          <w:sz w:val="24"/>
        </w:rPr>
      </w:pPr>
    </w:p>
    <w:p>
      <w:pPr>
        <w:kinsoku w:val="0"/>
        <w:overflowPunct w:val="0"/>
        <w:adjustRightInd/>
        <w:spacing w:line="400" w:lineRule="atLeast"/>
        <w:rPr>
          <w:rFonts w:hint="eastAsia" w:ascii="宋体" w:hAnsi="宋体"/>
          <w:sz w:val="24"/>
        </w:rPr>
      </w:pPr>
    </w:p>
    <w:p>
      <w:pPr>
        <w:kinsoku w:val="0"/>
        <w:overflowPunct w:val="0"/>
        <w:adjustRightInd/>
        <w:spacing w:line="400" w:lineRule="atLeast"/>
        <w:rPr>
          <w:rFonts w:hint="eastAsia" w:ascii="宋体" w:hAnsi="宋体"/>
          <w:sz w:val="24"/>
        </w:rPr>
      </w:pPr>
    </w:p>
    <w:p>
      <w:pPr>
        <w:pStyle w:val="2"/>
        <w:rPr>
          <w:rFonts w:hint="eastAsia"/>
        </w:rPr>
      </w:pPr>
    </w:p>
    <w:p>
      <w:pPr>
        <w:jc w:val="center"/>
        <w:rPr>
          <w:rFonts w:hint="eastAsia" w:cs="宋体"/>
          <w:bCs/>
          <w:color w:val="000000"/>
          <w:sz w:val="28"/>
          <w:szCs w:val="28"/>
        </w:rPr>
      </w:pPr>
      <w:bookmarkStart w:id="155" w:name="_Toc66848109"/>
      <w:bookmarkStart w:id="156" w:name="_Toc515678520"/>
      <w:bookmarkStart w:id="157" w:name="_Toc515678551"/>
    </w:p>
    <w:p>
      <w:pPr>
        <w:jc w:val="center"/>
        <w:rPr>
          <w:rFonts w:hint="eastAsia" w:cs="宋体"/>
          <w:bCs/>
          <w:color w:val="000000"/>
          <w:sz w:val="28"/>
          <w:szCs w:val="28"/>
        </w:rPr>
      </w:pPr>
    </w:p>
    <w:p>
      <w:pPr>
        <w:jc w:val="center"/>
        <w:rPr>
          <w:rFonts w:hint="eastAsia" w:cs="宋体"/>
          <w:bCs/>
          <w:color w:val="000000"/>
          <w:sz w:val="28"/>
          <w:szCs w:val="28"/>
        </w:rPr>
      </w:pPr>
    </w:p>
    <w:p>
      <w:pPr>
        <w:pStyle w:val="4"/>
        <w:keepNext w:val="0"/>
        <w:keepLines w:val="0"/>
        <w:kinsoku w:val="0"/>
        <w:overflowPunct w:val="0"/>
        <w:autoSpaceDE w:val="0"/>
        <w:autoSpaceDN w:val="0"/>
        <w:adjustRightInd/>
        <w:spacing w:before="0" w:after="0" w:line="400" w:lineRule="atLeast"/>
        <w:ind w:firstLine="522" w:firstLineChars="200"/>
        <w:jc w:val="center"/>
        <w:textAlignment w:val="auto"/>
        <w:outlineLvl w:val="0"/>
        <w:rPr>
          <w:rFonts w:hint="eastAsia" w:ascii="宋体" w:hAnsi="宋体" w:eastAsia="宋体"/>
          <w:bCs/>
          <w:sz w:val="24"/>
          <w:szCs w:val="24"/>
        </w:rPr>
      </w:pPr>
      <w:bookmarkStart w:id="158" w:name="_Toc21628"/>
      <w:r>
        <w:rPr>
          <w:rFonts w:hint="eastAsia" w:ascii="宋体" w:hAnsi="宋体" w:eastAsia="宋体"/>
          <w:bCs/>
          <w:sz w:val="24"/>
          <w:szCs w:val="24"/>
        </w:rPr>
        <w:t xml:space="preserve">第五部分 </w:t>
      </w:r>
      <w:r>
        <w:rPr>
          <w:rFonts w:hint="eastAsia" w:ascii="宋体" w:hAnsi="宋体" w:eastAsia="宋体"/>
          <w:bCs/>
          <w:sz w:val="24"/>
          <w:szCs w:val="24"/>
          <w:lang w:val="en-US" w:eastAsia="zh-CN"/>
        </w:rPr>
        <w:t>响应</w:t>
      </w:r>
      <w:r>
        <w:rPr>
          <w:rFonts w:hint="eastAsia" w:ascii="宋体" w:hAnsi="宋体" w:eastAsia="宋体"/>
          <w:bCs/>
          <w:sz w:val="24"/>
          <w:szCs w:val="24"/>
        </w:rPr>
        <w:t>报价文件格式</w:t>
      </w:r>
      <w:bookmarkEnd w:id="158"/>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noWrap w:val="0"/>
            <w:vAlign w:val="top"/>
          </w:tcPr>
          <w:p>
            <w:pPr>
              <w:kinsoku w:val="0"/>
              <w:overflowPunct w:val="0"/>
              <w:adjustRightInd/>
              <w:spacing w:line="400" w:lineRule="atLeast"/>
              <w:rPr>
                <w:rFonts w:ascii="宋体" w:hAnsi="宋体"/>
                <w:sz w:val="24"/>
              </w:rPr>
            </w:pPr>
            <w:r>
              <w:rPr>
                <w:rFonts w:hint="eastAsia" w:ascii="宋体" w:hAnsi="宋体"/>
                <w:sz w:val="24"/>
              </w:rPr>
              <w:t xml:space="preserve">注释： </w:t>
            </w:r>
          </w:p>
          <w:p>
            <w:pPr>
              <w:kinsoku w:val="0"/>
              <w:overflowPunct w:val="0"/>
              <w:adjustRightInd/>
              <w:spacing w:line="400" w:lineRule="atLeast"/>
              <w:ind w:firstLine="480"/>
              <w:rPr>
                <w:rFonts w:hint="eastAsia" w:ascii="宋体" w:hAnsi="宋体"/>
                <w:sz w:val="24"/>
              </w:rPr>
            </w:pPr>
            <w:r>
              <w:rPr>
                <w:rFonts w:hint="eastAsia" w:ascii="宋体" w:hAnsi="宋体"/>
                <w:sz w:val="24"/>
              </w:rPr>
              <w:t>《报价文件格式》是报价方的部分报价文件格式和签订合同时所需文件的格式。报价方参照这些格式文件制作报价文件。</w:t>
            </w:r>
          </w:p>
        </w:tc>
      </w:tr>
    </w:tbl>
    <w:p>
      <w:pPr>
        <w:kinsoku w:val="0"/>
        <w:overflowPunct w:val="0"/>
        <w:adjustRightInd/>
        <w:spacing w:line="400" w:lineRule="atLeast"/>
        <w:rPr>
          <w:rFonts w:hint="eastAsia" w:ascii="宋体" w:hAnsi="宋体"/>
          <w:b/>
          <w:sz w:val="36"/>
        </w:rPr>
      </w:pPr>
    </w:p>
    <w:p>
      <w:pPr>
        <w:kinsoku w:val="0"/>
        <w:overflowPunct w:val="0"/>
        <w:adjustRightInd/>
        <w:spacing w:line="400" w:lineRule="atLeast"/>
        <w:jc w:val="center"/>
        <w:outlineLvl w:val="0"/>
        <w:rPr>
          <w:rFonts w:hint="eastAsia" w:ascii="宋体" w:hAnsi="宋体"/>
          <w:b/>
          <w:sz w:val="44"/>
          <w:szCs w:val="44"/>
        </w:rPr>
      </w:pPr>
      <w:bookmarkStart w:id="159" w:name="_Toc9605"/>
      <w:bookmarkStart w:id="160" w:name="_Toc11385"/>
      <w:bookmarkStart w:id="161" w:name="_Toc23011"/>
      <w:bookmarkStart w:id="162" w:name="_Toc6288"/>
      <w:r>
        <w:rPr>
          <w:rFonts w:hint="eastAsia" w:ascii="宋体" w:hAnsi="宋体"/>
          <w:b/>
          <w:sz w:val="44"/>
          <w:szCs w:val="44"/>
        </w:rPr>
        <w:t>厦门海发环保能源股份有限公司</w:t>
      </w:r>
      <w:bookmarkEnd w:id="159"/>
      <w:bookmarkEnd w:id="160"/>
      <w:bookmarkEnd w:id="161"/>
      <w:bookmarkEnd w:id="162"/>
    </w:p>
    <w:p>
      <w:pPr>
        <w:kinsoku w:val="0"/>
        <w:overflowPunct w:val="0"/>
        <w:adjustRightInd/>
        <w:spacing w:line="400" w:lineRule="atLeast"/>
        <w:jc w:val="center"/>
        <w:outlineLvl w:val="9"/>
        <w:rPr>
          <w:rFonts w:hint="eastAsia" w:ascii="宋体" w:hAnsi="宋体"/>
          <w:b/>
          <w:sz w:val="44"/>
          <w:szCs w:val="44"/>
        </w:rPr>
      </w:pPr>
    </w:p>
    <w:p>
      <w:pPr>
        <w:kinsoku w:val="0"/>
        <w:overflowPunct w:val="0"/>
        <w:adjustRightInd/>
        <w:spacing w:line="400" w:lineRule="atLeast"/>
        <w:jc w:val="center"/>
        <w:outlineLvl w:val="0"/>
        <w:rPr>
          <w:rFonts w:hint="eastAsia" w:ascii="宋体" w:hAnsi="宋体"/>
          <w:b/>
          <w:sz w:val="44"/>
          <w:szCs w:val="44"/>
        </w:rPr>
      </w:pPr>
      <w:bookmarkStart w:id="163" w:name="_Toc22238"/>
      <w:bookmarkStart w:id="164" w:name="_Toc30894"/>
      <w:bookmarkStart w:id="165" w:name="_Toc3580"/>
      <w:bookmarkStart w:id="166" w:name="_Toc28305"/>
      <w:r>
        <w:rPr>
          <w:rFonts w:hint="eastAsia" w:ascii="宋体" w:hAnsi="宋体"/>
          <w:b/>
          <w:sz w:val="44"/>
          <w:szCs w:val="44"/>
          <w:lang w:val="en-US" w:eastAsia="zh-CN"/>
        </w:rPr>
        <w:t>电动闸阀备件采购</w:t>
      </w:r>
      <w:r>
        <w:rPr>
          <w:rFonts w:hint="eastAsia" w:ascii="宋体" w:hAnsi="宋体"/>
          <w:b/>
          <w:sz w:val="44"/>
          <w:szCs w:val="44"/>
        </w:rPr>
        <w:t>项目</w:t>
      </w:r>
      <w:bookmarkEnd w:id="163"/>
    </w:p>
    <w:p>
      <w:pPr>
        <w:kinsoku w:val="0"/>
        <w:overflowPunct w:val="0"/>
        <w:adjustRightInd/>
        <w:spacing w:line="400" w:lineRule="atLeast"/>
        <w:jc w:val="center"/>
        <w:outlineLvl w:val="9"/>
        <w:rPr>
          <w:rFonts w:hint="eastAsia" w:ascii="宋体" w:hAnsi="宋体"/>
          <w:b/>
          <w:sz w:val="44"/>
          <w:szCs w:val="44"/>
        </w:rPr>
      </w:pPr>
    </w:p>
    <w:bookmarkEnd w:id="164"/>
    <w:bookmarkEnd w:id="165"/>
    <w:bookmarkEnd w:id="166"/>
    <w:p>
      <w:pPr>
        <w:kinsoku w:val="0"/>
        <w:overflowPunct w:val="0"/>
        <w:adjustRightInd/>
        <w:spacing w:line="400" w:lineRule="atLeast"/>
        <w:jc w:val="center"/>
        <w:outlineLvl w:val="0"/>
        <w:rPr>
          <w:rFonts w:hint="eastAsia" w:ascii="宋体" w:hAnsi="宋体"/>
          <w:b/>
          <w:sz w:val="44"/>
          <w:szCs w:val="44"/>
        </w:rPr>
      </w:pPr>
      <w:bookmarkStart w:id="167" w:name="_Toc14950"/>
      <w:r>
        <w:rPr>
          <w:rFonts w:hint="eastAsia" w:ascii="宋体" w:hAnsi="宋体"/>
          <w:b/>
          <w:sz w:val="44"/>
          <w:szCs w:val="44"/>
        </w:rPr>
        <w:t>响应报价文件</w:t>
      </w:r>
      <w:bookmarkEnd w:id="167"/>
    </w:p>
    <w:p>
      <w:pPr>
        <w:kinsoku w:val="0"/>
        <w:overflowPunct w:val="0"/>
        <w:adjustRightInd/>
        <w:spacing w:line="400" w:lineRule="atLeast"/>
        <w:ind w:firstLine="1446" w:firstLineChars="400"/>
        <w:rPr>
          <w:rFonts w:hint="eastAsia" w:ascii="宋体" w:hAnsi="宋体"/>
          <w:b/>
          <w:sz w:val="36"/>
        </w:rPr>
      </w:pPr>
    </w:p>
    <w:p>
      <w:pPr>
        <w:kinsoku w:val="0"/>
        <w:overflowPunct w:val="0"/>
        <w:adjustRightInd/>
        <w:spacing w:line="400" w:lineRule="atLeast"/>
        <w:ind w:firstLine="1807" w:firstLineChars="500"/>
        <w:outlineLvl w:val="0"/>
        <w:rPr>
          <w:rFonts w:hint="eastAsia" w:ascii="宋体" w:hAnsi="宋体"/>
          <w:b/>
          <w:sz w:val="36"/>
        </w:rPr>
      </w:pPr>
      <w:bookmarkStart w:id="168" w:name="_Toc16822"/>
      <w:bookmarkStart w:id="169" w:name="_Toc477"/>
      <w:bookmarkStart w:id="170" w:name="_Toc14918"/>
      <w:bookmarkStart w:id="171" w:name="_Toc3485"/>
      <w:r>
        <w:rPr>
          <w:rFonts w:hint="eastAsia" w:ascii="宋体" w:hAnsi="宋体"/>
          <w:b/>
          <w:sz w:val="36"/>
        </w:rPr>
        <w:t>项 目 编 号：</w:t>
      </w:r>
      <w:bookmarkEnd w:id="168"/>
      <w:bookmarkEnd w:id="169"/>
      <w:bookmarkEnd w:id="170"/>
      <w:bookmarkEnd w:id="171"/>
      <w:r>
        <w:rPr>
          <w:rFonts w:hint="eastAsia" w:ascii="宋体" w:hAnsi="宋体"/>
          <w:b/>
          <w:sz w:val="36"/>
          <w:u w:val="single"/>
        </w:rPr>
        <w:t xml:space="preserve">               </w:t>
      </w:r>
    </w:p>
    <w:p>
      <w:pPr>
        <w:kinsoku w:val="0"/>
        <w:overflowPunct w:val="0"/>
        <w:adjustRightInd/>
        <w:spacing w:line="400" w:lineRule="atLeast"/>
        <w:rPr>
          <w:rFonts w:hint="eastAsia" w:ascii="宋体" w:hAnsi="宋体"/>
          <w:b/>
          <w:sz w:val="36"/>
        </w:rPr>
      </w:pPr>
      <w:r>
        <w:rPr>
          <w:rFonts w:hint="eastAsia" w:ascii="宋体" w:hAnsi="宋体"/>
          <w:b/>
          <w:sz w:val="36"/>
        </w:rPr>
        <w:t xml:space="preserve">    </w:t>
      </w:r>
    </w:p>
    <w:p>
      <w:pPr>
        <w:kinsoku w:val="0"/>
        <w:overflowPunct w:val="0"/>
        <w:adjustRightInd/>
        <w:spacing w:line="400" w:lineRule="atLeast"/>
        <w:rPr>
          <w:rFonts w:hint="eastAsia" w:ascii="宋体" w:hAnsi="宋体"/>
          <w:b/>
          <w:sz w:val="36"/>
        </w:rPr>
      </w:pPr>
    </w:p>
    <w:p>
      <w:pPr>
        <w:kinsoku w:val="0"/>
        <w:overflowPunct w:val="0"/>
        <w:adjustRightInd/>
        <w:spacing w:line="400" w:lineRule="atLeast"/>
        <w:rPr>
          <w:rFonts w:hint="eastAsia" w:ascii="宋体" w:hAnsi="宋体"/>
          <w:b/>
          <w:sz w:val="36"/>
        </w:rPr>
      </w:pPr>
    </w:p>
    <w:p>
      <w:pPr>
        <w:kinsoku w:val="0"/>
        <w:overflowPunct w:val="0"/>
        <w:adjustRightInd/>
        <w:spacing w:line="400" w:lineRule="atLeast"/>
        <w:jc w:val="left"/>
        <w:rPr>
          <w:rFonts w:hint="eastAsia" w:ascii="宋体" w:hAnsi="宋体"/>
          <w:b/>
          <w:bCs/>
          <w:sz w:val="32"/>
          <w:szCs w:val="32"/>
        </w:rPr>
      </w:pPr>
    </w:p>
    <w:p>
      <w:pPr>
        <w:kinsoku w:val="0"/>
        <w:overflowPunct w:val="0"/>
        <w:adjustRightInd/>
        <w:spacing w:line="400" w:lineRule="atLeast"/>
        <w:ind w:firstLine="602" w:firstLineChars="200"/>
        <w:jc w:val="left"/>
        <w:outlineLvl w:val="0"/>
        <w:rPr>
          <w:rFonts w:hint="eastAsia" w:ascii="宋体" w:hAnsi="宋体"/>
          <w:b/>
          <w:bCs/>
          <w:sz w:val="30"/>
          <w:szCs w:val="30"/>
          <w:u w:val="single"/>
        </w:rPr>
      </w:pPr>
      <w:bookmarkStart w:id="172" w:name="_Toc12676"/>
      <w:bookmarkStart w:id="173" w:name="_Toc27454"/>
      <w:bookmarkStart w:id="174" w:name="_Toc18349"/>
      <w:bookmarkStart w:id="175" w:name="_Toc10610"/>
      <w:bookmarkStart w:id="176" w:name="_Toc26010"/>
      <w:bookmarkStart w:id="177" w:name="_Toc31210"/>
      <w:r>
        <w:rPr>
          <w:rFonts w:hint="eastAsia" w:ascii="宋体" w:hAnsi="宋体"/>
          <w:b/>
          <w:bCs/>
          <w:sz w:val="30"/>
          <w:szCs w:val="30"/>
        </w:rPr>
        <w:t>报价单位：</w:t>
      </w:r>
      <w:r>
        <w:rPr>
          <w:rFonts w:hint="eastAsia" w:ascii="宋体" w:hAnsi="宋体"/>
          <w:b/>
          <w:bCs/>
          <w:sz w:val="30"/>
          <w:szCs w:val="30"/>
          <w:u w:val="single"/>
        </w:rPr>
        <w:t xml:space="preserve">                           （盖公章）</w:t>
      </w:r>
      <w:bookmarkEnd w:id="172"/>
      <w:bookmarkEnd w:id="173"/>
      <w:bookmarkEnd w:id="174"/>
      <w:bookmarkEnd w:id="175"/>
      <w:bookmarkEnd w:id="176"/>
      <w:bookmarkEnd w:id="177"/>
    </w:p>
    <w:p>
      <w:pPr>
        <w:kinsoku w:val="0"/>
        <w:overflowPunct w:val="0"/>
        <w:adjustRightInd/>
        <w:spacing w:line="400" w:lineRule="atLeast"/>
        <w:jc w:val="left"/>
        <w:rPr>
          <w:rFonts w:hint="eastAsia" w:ascii="宋体" w:hAnsi="宋体"/>
          <w:b/>
          <w:bCs/>
          <w:sz w:val="30"/>
          <w:szCs w:val="30"/>
          <w:u w:val="single"/>
        </w:rPr>
      </w:pPr>
    </w:p>
    <w:p>
      <w:pPr>
        <w:kinsoku w:val="0"/>
        <w:overflowPunct w:val="0"/>
        <w:adjustRightInd/>
        <w:spacing w:line="400" w:lineRule="atLeast"/>
        <w:ind w:firstLine="602" w:firstLineChars="200"/>
        <w:jc w:val="left"/>
        <w:outlineLvl w:val="0"/>
        <w:rPr>
          <w:rFonts w:ascii="宋体" w:hAnsi="宋体"/>
          <w:b/>
          <w:bCs/>
          <w:sz w:val="30"/>
          <w:szCs w:val="30"/>
          <w:u w:val="single"/>
        </w:rPr>
      </w:pPr>
      <w:bookmarkStart w:id="178" w:name="_Toc2110"/>
      <w:bookmarkStart w:id="179" w:name="_Toc4882"/>
      <w:bookmarkStart w:id="180" w:name="_Toc16600"/>
      <w:bookmarkStart w:id="181" w:name="_Toc26421"/>
      <w:bookmarkStart w:id="182" w:name="_Toc28416"/>
      <w:bookmarkStart w:id="183" w:name="_Toc22504"/>
      <w:r>
        <w:rPr>
          <w:rFonts w:hint="eastAsia" w:ascii="宋体" w:hAnsi="宋体"/>
          <w:b/>
          <w:bCs/>
          <w:sz w:val="30"/>
          <w:szCs w:val="30"/>
        </w:rPr>
        <w:t>法定代表人或其委托代理人：</w:t>
      </w:r>
      <w:bookmarkEnd w:id="178"/>
      <w:bookmarkEnd w:id="179"/>
      <w:bookmarkEnd w:id="180"/>
      <w:bookmarkEnd w:id="181"/>
      <w:bookmarkEnd w:id="182"/>
      <w:bookmarkEnd w:id="183"/>
      <w:r>
        <w:rPr>
          <w:rFonts w:hint="eastAsia" w:ascii="宋体" w:hAnsi="宋体"/>
          <w:b/>
          <w:bCs/>
          <w:sz w:val="30"/>
          <w:szCs w:val="30"/>
          <w:u w:val="single"/>
        </w:rPr>
        <w:t xml:space="preserve">                     </w:t>
      </w:r>
    </w:p>
    <w:p>
      <w:pPr>
        <w:kinsoku w:val="0"/>
        <w:overflowPunct w:val="0"/>
        <w:adjustRightInd/>
        <w:spacing w:line="400" w:lineRule="atLeast"/>
        <w:ind w:firstLine="1687" w:firstLineChars="600"/>
        <w:jc w:val="center"/>
        <w:rPr>
          <w:rFonts w:hint="eastAsia" w:ascii="宋体" w:hAnsi="宋体"/>
          <w:b/>
          <w:bCs/>
          <w:sz w:val="28"/>
          <w:szCs w:val="28"/>
        </w:rPr>
      </w:pPr>
    </w:p>
    <w:p>
      <w:pPr>
        <w:kinsoku w:val="0"/>
        <w:overflowPunct w:val="0"/>
        <w:adjustRightInd/>
        <w:spacing w:line="400" w:lineRule="atLeast"/>
        <w:ind w:firstLine="2811" w:firstLineChars="1000"/>
        <w:outlineLvl w:val="0"/>
        <w:rPr>
          <w:rFonts w:hint="eastAsia" w:ascii="宋体" w:hAnsi="宋体"/>
          <w:b/>
          <w:bCs/>
          <w:sz w:val="28"/>
          <w:szCs w:val="28"/>
        </w:rPr>
      </w:pPr>
      <w:bookmarkStart w:id="184" w:name="_Toc7142"/>
      <w:bookmarkStart w:id="185" w:name="_Toc24026"/>
      <w:bookmarkStart w:id="186" w:name="_Toc7425"/>
      <w:bookmarkStart w:id="187" w:name="_Toc19182"/>
      <w:bookmarkStart w:id="188" w:name="_Toc14233"/>
      <w:bookmarkStart w:id="189" w:name="_Toc17921"/>
      <w:r>
        <w:rPr>
          <w:rFonts w:hint="eastAsia" w:ascii="宋体" w:hAnsi="宋体"/>
          <w:b/>
          <w:bCs/>
          <w:sz w:val="28"/>
          <w:szCs w:val="28"/>
        </w:rPr>
        <w:t>报价日期：202</w:t>
      </w:r>
      <w:r>
        <w:rPr>
          <w:rFonts w:hint="eastAsia" w:ascii="宋体" w:hAnsi="宋体"/>
          <w:b/>
          <w:bCs/>
          <w:sz w:val="28"/>
          <w:szCs w:val="28"/>
          <w:lang w:val="en-US" w:eastAsia="zh-CN"/>
        </w:rPr>
        <w:t>1</w:t>
      </w:r>
      <w:r>
        <w:rPr>
          <w:rFonts w:hint="eastAsia" w:ascii="宋体" w:hAnsi="宋体"/>
          <w:b/>
          <w:bCs/>
          <w:sz w:val="28"/>
          <w:szCs w:val="28"/>
        </w:rPr>
        <w:t>年  月   日</w:t>
      </w:r>
      <w:bookmarkEnd w:id="184"/>
      <w:bookmarkEnd w:id="185"/>
      <w:bookmarkEnd w:id="186"/>
      <w:bookmarkEnd w:id="187"/>
      <w:bookmarkEnd w:id="188"/>
      <w:bookmarkEnd w:id="189"/>
    </w:p>
    <w:p>
      <w:pPr>
        <w:kinsoku w:val="0"/>
        <w:overflowPunct w:val="0"/>
        <w:adjustRightInd/>
        <w:spacing w:line="400" w:lineRule="atLeast"/>
        <w:ind w:firstLine="2811" w:firstLineChars="1000"/>
        <w:outlineLvl w:val="9"/>
        <w:rPr>
          <w:rFonts w:hint="eastAsia" w:ascii="宋体" w:hAnsi="宋体"/>
          <w:b/>
          <w:bCs/>
          <w:sz w:val="28"/>
          <w:szCs w:val="28"/>
        </w:rPr>
      </w:pPr>
    </w:p>
    <w:p>
      <w:pPr>
        <w:pStyle w:val="2"/>
        <w:rPr>
          <w:rFonts w:hint="eastAsia"/>
        </w:rPr>
      </w:pPr>
    </w:p>
    <w:p>
      <w:pPr>
        <w:pStyle w:val="2"/>
        <w:rPr>
          <w:rFonts w:hint="eastAsia" w:ascii="宋体" w:hAnsi="宋体"/>
          <w:b/>
          <w:bCs/>
          <w:sz w:val="28"/>
          <w:szCs w:val="28"/>
        </w:rPr>
      </w:pPr>
    </w:p>
    <w:p>
      <w:pPr>
        <w:numPr>
          <w:ilvl w:val="0"/>
          <w:numId w:val="53"/>
        </w:numPr>
        <w:kinsoku w:val="0"/>
        <w:overflowPunct w:val="0"/>
        <w:autoSpaceDE/>
        <w:autoSpaceDN/>
        <w:snapToGrid w:val="0"/>
        <w:spacing w:line="440" w:lineRule="atLeast"/>
        <w:ind w:firstLine="0"/>
        <w:textAlignment w:val="auto"/>
        <w:outlineLvl w:val="0"/>
        <w:rPr>
          <w:rFonts w:hint="eastAsia" w:ascii="宋体" w:hAnsi="宋体"/>
          <w:sz w:val="24"/>
          <w:szCs w:val="24"/>
        </w:rPr>
      </w:pPr>
      <w:bookmarkStart w:id="190" w:name="_Toc24074"/>
      <w:r>
        <w:rPr>
          <w:rFonts w:hint="eastAsia" w:ascii="宋体" w:hAnsi="宋体"/>
          <w:sz w:val="24"/>
          <w:szCs w:val="24"/>
        </w:rPr>
        <w:t>响应函（见附件1）；</w:t>
      </w:r>
      <w:bookmarkEnd w:id="190"/>
    </w:p>
    <w:p>
      <w:pPr>
        <w:numPr>
          <w:ilvl w:val="0"/>
          <w:numId w:val="53"/>
        </w:numPr>
        <w:kinsoku w:val="0"/>
        <w:overflowPunct w:val="0"/>
        <w:autoSpaceDE/>
        <w:autoSpaceDN/>
        <w:snapToGrid w:val="0"/>
        <w:spacing w:line="440" w:lineRule="atLeast"/>
        <w:ind w:firstLine="0"/>
        <w:textAlignment w:val="auto"/>
        <w:outlineLvl w:val="0"/>
        <w:rPr>
          <w:rFonts w:hint="eastAsia" w:ascii="宋体" w:hAnsi="宋体"/>
          <w:sz w:val="24"/>
          <w:szCs w:val="24"/>
        </w:rPr>
      </w:pPr>
      <w:bookmarkStart w:id="191" w:name="_Toc29407"/>
      <w:r>
        <w:rPr>
          <w:rFonts w:hint="eastAsia" w:ascii="宋体" w:hAnsi="宋体"/>
          <w:sz w:val="24"/>
          <w:szCs w:val="24"/>
        </w:rPr>
        <w:t>报价表（见附件2）；</w:t>
      </w:r>
      <w:bookmarkEnd w:id="191"/>
    </w:p>
    <w:p>
      <w:pPr>
        <w:numPr>
          <w:ilvl w:val="0"/>
          <w:numId w:val="53"/>
        </w:numPr>
        <w:kinsoku w:val="0"/>
        <w:overflowPunct w:val="0"/>
        <w:autoSpaceDE/>
        <w:autoSpaceDN/>
        <w:snapToGrid w:val="0"/>
        <w:spacing w:line="440" w:lineRule="atLeast"/>
        <w:ind w:firstLine="0"/>
        <w:textAlignment w:val="auto"/>
        <w:outlineLvl w:val="0"/>
        <w:rPr>
          <w:rFonts w:hint="eastAsia" w:ascii="宋体" w:hAnsi="宋体"/>
          <w:sz w:val="24"/>
          <w:szCs w:val="24"/>
        </w:rPr>
      </w:pPr>
      <w:bookmarkStart w:id="192" w:name="_Toc3903"/>
      <w:r>
        <w:rPr>
          <w:rFonts w:hint="eastAsia" w:ascii="宋体" w:hAnsi="宋体"/>
          <w:sz w:val="24"/>
          <w:szCs w:val="24"/>
        </w:rPr>
        <w:t>法定代表人</w:t>
      </w:r>
      <w:r>
        <w:rPr>
          <w:rFonts w:hint="eastAsia" w:ascii="宋体" w:hAnsi="宋体"/>
          <w:sz w:val="24"/>
          <w:szCs w:val="24"/>
          <w:lang w:val="en-US" w:eastAsia="zh-CN"/>
        </w:rPr>
        <w:t>身份</w:t>
      </w:r>
      <w:r>
        <w:rPr>
          <w:rFonts w:hint="eastAsia" w:ascii="宋体" w:hAnsi="宋体"/>
          <w:sz w:val="24"/>
          <w:szCs w:val="24"/>
        </w:rPr>
        <w:t>证明书（见附件3）；</w:t>
      </w:r>
      <w:bookmarkEnd w:id="192"/>
    </w:p>
    <w:p>
      <w:pPr>
        <w:numPr>
          <w:ilvl w:val="0"/>
          <w:numId w:val="53"/>
        </w:numPr>
        <w:kinsoku w:val="0"/>
        <w:overflowPunct w:val="0"/>
        <w:snapToGrid w:val="0"/>
        <w:spacing w:line="400" w:lineRule="atLeast"/>
        <w:ind w:firstLine="0"/>
        <w:textAlignment w:val="auto"/>
        <w:outlineLvl w:val="0"/>
        <w:rPr>
          <w:rFonts w:ascii="宋体" w:hAnsi="宋体"/>
          <w:sz w:val="24"/>
          <w:szCs w:val="24"/>
        </w:rPr>
      </w:pPr>
      <w:bookmarkStart w:id="193" w:name="_Toc5238"/>
      <w:r>
        <w:rPr>
          <w:rFonts w:hint="eastAsia" w:ascii="宋体" w:hAnsi="宋体"/>
          <w:sz w:val="24"/>
          <w:szCs w:val="24"/>
        </w:rPr>
        <w:t>法人授权委托书（见附件4，报价签字代表为法定代表人，则本附件不需要提供）；</w:t>
      </w:r>
      <w:bookmarkEnd w:id="193"/>
    </w:p>
    <w:p>
      <w:pPr>
        <w:numPr>
          <w:ilvl w:val="0"/>
          <w:numId w:val="53"/>
        </w:numPr>
        <w:kinsoku w:val="0"/>
        <w:overflowPunct w:val="0"/>
        <w:autoSpaceDE/>
        <w:autoSpaceDN/>
        <w:snapToGrid w:val="0"/>
        <w:spacing w:line="440" w:lineRule="atLeast"/>
        <w:ind w:firstLine="0"/>
        <w:textAlignment w:val="auto"/>
        <w:outlineLvl w:val="0"/>
        <w:rPr>
          <w:rFonts w:hint="eastAsia" w:ascii="宋体" w:hAnsi="宋体"/>
          <w:sz w:val="24"/>
          <w:szCs w:val="24"/>
        </w:rPr>
      </w:pPr>
      <w:bookmarkStart w:id="194" w:name="_Toc29950"/>
      <w:r>
        <w:rPr>
          <w:rFonts w:hint="eastAsia" w:ascii="宋体" w:hAnsi="宋体"/>
          <w:sz w:val="24"/>
          <w:szCs w:val="24"/>
        </w:rPr>
        <w:t>关于资格的声明函（见附件5）；</w:t>
      </w:r>
      <w:bookmarkEnd w:id="194"/>
    </w:p>
    <w:p>
      <w:pPr>
        <w:numPr>
          <w:ilvl w:val="0"/>
          <w:numId w:val="53"/>
        </w:numPr>
        <w:kinsoku w:val="0"/>
        <w:overflowPunct w:val="0"/>
        <w:autoSpaceDE/>
        <w:autoSpaceDN/>
        <w:snapToGrid w:val="0"/>
        <w:spacing w:line="440" w:lineRule="atLeast"/>
        <w:ind w:firstLine="0"/>
        <w:textAlignment w:val="auto"/>
        <w:outlineLvl w:val="0"/>
        <w:rPr>
          <w:rFonts w:hint="eastAsia" w:ascii="宋体" w:hAnsi="宋体"/>
          <w:sz w:val="24"/>
          <w:szCs w:val="24"/>
        </w:rPr>
      </w:pPr>
      <w:bookmarkStart w:id="195" w:name="_Toc17739"/>
      <w:r>
        <w:rPr>
          <w:rFonts w:hint="eastAsia" w:ascii="宋体" w:hAnsi="宋体"/>
          <w:sz w:val="24"/>
          <w:szCs w:val="24"/>
        </w:rPr>
        <w:t>报价方廉洁承诺书（见附件6）；</w:t>
      </w:r>
      <w:bookmarkEnd w:id="195"/>
    </w:p>
    <w:p>
      <w:pPr>
        <w:numPr>
          <w:ilvl w:val="0"/>
          <w:numId w:val="53"/>
        </w:numPr>
        <w:kinsoku w:val="0"/>
        <w:overflowPunct w:val="0"/>
        <w:autoSpaceDE/>
        <w:autoSpaceDN/>
        <w:snapToGrid w:val="0"/>
        <w:spacing w:line="440" w:lineRule="atLeast"/>
        <w:ind w:firstLine="0"/>
        <w:textAlignment w:val="auto"/>
        <w:outlineLvl w:val="0"/>
        <w:rPr>
          <w:rFonts w:hint="eastAsia" w:ascii="宋体" w:hAnsi="宋体"/>
          <w:sz w:val="24"/>
          <w:szCs w:val="24"/>
        </w:rPr>
      </w:pPr>
      <w:bookmarkStart w:id="196" w:name="_Toc30562"/>
      <w:r>
        <w:rPr>
          <w:rFonts w:hint="eastAsia" w:ascii="宋体" w:hAnsi="宋体"/>
          <w:sz w:val="24"/>
          <w:szCs w:val="24"/>
        </w:rPr>
        <w:t>企业能有效识别二维码且加盖报价单位公章的营业执照复印件（见附件7）；</w:t>
      </w:r>
      <w:bookmarkEnd w:id="196"/>
    </w:p>
    <w:p>
      <w:pPr>
        <w:numPr>
          <w:ilvl w:val="0"/>
          <w:numId w:val="53"/>
        </w:numPr>
        <w:kinsoku w:val="0"/>
        <w:overflowPunct w:val="0"/>
        <w:autoSpaceDE/>
        <w:autoSpaceDN/>
        <w:snapToGrid w:val="0"/>
        <w:spacing w:line="440" w:lineRule="atLeast"/>
        <w:ind w:firstLine="0"/>
        <w:textAlignment w:val="auto"/>
        <w:outlineLvl w:val="0"/>
        <w:rPr>
          <w:rFonts w:hint="eastAsia" w:ascii="宋体" w:hAnsi="宋体"/>
          <w:sz w:val="24"/>
          <w:szCs w:val="24"/>
        </w:rPr>
      </w:pPr>
      <w:bookmarkStart w:id="197" w:name="_Toc19992"/>
      <w:r>
        <w:rPr>
          <w:rFonts w:hint="eastAsia" w:ascii="宋体" w:hAnsi="宋体"/>
          <w:sz w:val="24"/>
          <w:szCs w:val="24"/>
        </w:rPr>
        <w:t>相关业绩证明，提供合同复印件（见附件</w:t>
      </w:r>
      <w:r>
        <w:rPr>
          <w:rFonts w:hint="eastAsia" w:ascii="宋体" w:hAnsi="宋体"/>
          <w:sz w:val="24"/>
          <w:szCs w:val="24"/>
          <w:lang w:val="en-US" w:eastAsia="zh-CN"/>
        </w:rPr>
        <w:t>8</w:t>
      </w:r>
      <w:r>
        <w:rPr>
          <w:rFonts w:hint="eastAsia" w:ascii="宋体" w:hAnsi="宋体"/>
          <w:sz w:val="24"/>
          <w:szCs w:val="24"/>
        </w:rPr>
        <w:t>）；</w:t>
      </w:r>
      <w:bookmarkEnd w:id="197"/>
    </w:p>
    <w:p>
      <w:pPr>
        <w:numPr>
          <w:ilvl w:val="0"/>
          <w:numId w:val="53"/>
        </w:numPr>
        <w:kinsoku w:val="0"/>
        <w:overflowPunct w:val="0"/>
        <w:autoSpaceDE/>
        <w:autoSpaceDN/>
        <w:snapToGrid w:val="0"/>
        <w:spacing w:line="440" w:lineRule="atLeast"/>
        <w:ind w:firstLine="0"/>
        <w:textAlignment w:val="auto"/>
        <w:outlineLvl w:val="0"/>
        <w:rPr>
          <w:rFonts w:hint="eastAsia" w:ascii="宋体" w:hAnsi="宋体"/>
          <w:sz w:val="24"/>
          <w:szCs w:val="24"/>
          <w:lang w:val="en-US" w:eastAsia="zh-CN"/>
        </w:rPr>
      </w:pPr>
      <w:r>
        <w:rPr>
          <w:rFonts w:hint="eastAsia" w:ascii="宋体" w:hAnsi="宋体"/>
          <w:sz w:val="24"/>
          <w:szCs w:val="24"/>
          <w:lang w:val="en-US" w:eastAsia="zh-CN"/>
        </w:rPr>
        <w:t>报价方</w:t>
      </w:r>
      <w:r>
        <w:rPr>
          <w:rFonts w:hint="eastAsia" w:ascii="宋体" w:hAnsi="宋体"/>
          <w:sz w:val="24"/>
          <w:szCs w:val="24"/>
        </w:rPr>
        <w:t>认为需要提供的其它资料（见附件</w:t>
      </w:r>
      <w:r>
        <w:rPr>
          <w:rFonts w:hint="eastAsia" w:ascii="宋体" w:hAnsi="宋体"/>
          <w:sz w:val="24"/>
          <w:szCs w:val="24"/>
          <w:lang w:val="en-US" w:eastAsia="zh-CN"/>
        </w:rPr>
        <w:t>9</w:t>
      </w:r>
      <w:r>
        <w:rPr>
          <w:rFonts w:hint="eastAsia" w:ascii="宋体" w:hAnsi="宋体"/>
          <w:sz w:val="24"/>
          <w:szCs w:val="24"/>
        </w:rPr>
        <w:t>）。</w:t>
      </w:r>
    </w:p>
    <w:p>
      <w:pPr>
        <w:jc w:val="center"/>
        <w:rPr>
          <w:rFonts w:hint="eastAsia" w:cs="宋体"/>
          <w:bCs/>
          <w:color w:val="000000"/>
          <w:sz w:val="28"/>
          <w:szCs w:val="28"/>
        </w:rPr>
      </w:pPr>
    </w:p>
    <w:p>
      <w:pPr>
        <w:pStyle w:val="2"/>
        <w:rPr>
          <w:rFonts w:hint="eastAsia" w:cs="宋体"/>
          <w:bCs/>
          <w:color w:val="000000"/>
          <w:sz w:val="28"/>
          <w:szCs w:val="28"/>
        </w:rPr>
      </w:pPr>
    </w:p>
    <w:p>
      <w:pPr>
        <w:pStyle w:val="2"/>
        <w:rPr>
          <w:rFonts w:hint="eastAsia" w:cs="宋体"/>
          <w:bCs/>
          <w:color w:val="000000"/>
          <w:sz w:val="28"/>
          <w:szCs w:val="28"/>
        </w:rPr>
      </w:pPr>
    </w:p>
    <w:p>
      <w:pPr>
        <w:pStyle w:val="2"/>
        <w:rPr>
          <w:rFonts w:hint="eastAsia" w:cs="宋体"/>
          <w:bCs/>
          <w:color w:val="000000"/>
          <w:sz w:val="28"/>
          <w:szCs w:val="28"/>
        </w:rPr>
      </w:pPr>
    </w:p>
    <w:p>
      <w:pPr>
        <w:pStyle w:val="2"/>
        <w:rPr>
          <w:rFonts w:hint="eastAsia" w:cs="宋体"/>
          <w:bCs/>
          <w:color w:val="000000"/>
          <w:sz w:val="28"/>
          <w:szCs w:val="28"/>
        </w:rPr>
      </w:pPr>
    </w:p>
    <w:p>
      <w:pPr>
        <w:pStyle w:val="2"/>
        <w:rPr>
          <w:rFonts w:hint="eastAsia" w:cs="宋体"/>
          <w:bCs/>
          <w:color w:val="000000"/>
          <w:sz w:val="28"/>
          <w:szCs w:val="28"/>
        </w:rPr>
      </w:pPr>
    </w:p>
    <w:p>
      <w:pPr>
        <w:pStyle w:val="2"/>
        <w:rPr>
          <w:rFonts w:hint="eastAsia" w:cs="宋体"/>
          <w:bCs/>
          <w:color w:val="000000"/>
          <w:sz w:val="28"/>
          <w:szCs w:val="28"/>
        </w:rPr>
      </w:pPr>
    </w:p>
    <w:p>
      <w:pPr>
        <w:pStyle w:val="2"/>
        <w:rPr>
          <w:rFonts w:hint="eastAsia" w:cs="宋体"/>
          <w:bCs/>
          <w:color w:val="000000"/>
          <w:sz w:val="28"/>
          <w:szCs w:val="28"/>
        </w:rPr>
      </w:pPr>
    </w:p>
    <w:p>
      <w:pPr>
        <w:pStyle w:val="2"/>
        <w:rPr>
          <w:rFonts w:hint="eastAsia" w:cs="宋体"/>
          <w:bCs/>
          <w:color w:val="000000"/>
          <w:sz w:val="28"/>
          <w:szCs w:val="28"/>
        </w:rPr>
      </w:pPr>
    </w:p>
    <w:p>
      <w:pPr>
        <w:pStyle w:val="2"/>
        <w:rPr>
          <w:rFonts w:hint="eastAsia" w:cs="宋体"/>
          <w:bCs/>
          <w:color w:val="000000"/>
          <w:sz w:val="28"/>
          <w:szCs w:val="28"/>
        </w:rPr>
      </w:pPr>
    </w:p>
    <w:p>
      <w:pPr>
        <w:pStyle w:val="2"/>
        <w:rPr>
          <w:rFonts w:hint="eastAsia" w:cs="宋体"/>
          <w:bCs/>
          <w:color w:val="000000"/>
          <w:sz w:val="28"/>
          <w:szCs w:val="28"/>
        </w:rPr>
      </w:pPr>
    </w:p>
    <w:p>
      <w:pPr>
        <w:pStyle w:val="2"/>
        <w:rPr>
          <w:rFonts w:hint="eastAsia" w:cs="宋体"/>
          <w:bCs/>
          <w:color w:val="000000"/>
          <w:sz w:val="28"/>
          <w:szCs w:val="28"/>
        </w:rPr>
      </w:pPr>
    </w:p>
    <w:p>
      <w:pPr>
        <w:pStyle w:val="2"/>
        <w:rPr>
          <w:rFonts w:hint="eastAsia" w:cs="宋体"/>
          <w:bCs/>
          <w:color w:val="000000"/>
          <w:sz w:val="28"/>
          <w:szCs w:val="28"/>
        </w:rPr>
      </w:pPr>
    </w:p>
    <w:p>
      <w:pPr>
        <w:pStyle w:val="2"/>
        <w:rPr>
          <w:rFonts w:hint="eastAsia" w:cs="宋体"/>
          <w:bCs/>
          <w:color w:val="000000"/>
          <w:sz w:val="28"/>
          <w:szCs w:val="28"/>
        </w:rPr>
      </w:pPr>
    </w:p>
    <w:p>
      <w:pPr>
        <w:pStyle w:val="2"/>
        <w:rPr>
          <w:rFonts w:hint="eastAsia" w:cs="宋体"/>
          <w:bCs/>
          <w:color w:val="000000"/>
          <w:sz w:val="28"/>
          <w:szCs w:val="28"/>
        </w:rPr>
      </w:pPr>
    </w:p>
    <w:p>
      <w:pPr>
        <w:pStyle w:val="2"/>
        <w:rPr>
          <w:rFonts w:hint="eastAsia" w:cs="宋体"/>
          <w:bCs/>
          <w:color w:val="000000"/>
          <w:sz w:val="28"/>
          <w:szCs w:val="28"/>
        </w:rPr>
      </w:pPr>
    </w:p>
    <w:p>
      <w:pPr>
        <w:pStyle w:val="16"/>
        <w:keepNext w:val="0"/>
        <w:keepLines w:val="0"/>
        <w:kinsoku w:val="0"/>
        <w:overflowPunct w:val="0"/>
        <w:autoSpaceDE w:val="0"/>
        <w:autoSpaceDN w:val="0"/>
        <w:adjustRightInd/>
        <w:spacing w:before="0" w:after="0" w:line="400" w:lineRule="atLeast"/>
        <w:outlineLvl w:val="0"/>
        <w:rPr>
          <w:rFonts w:hint="eastAsia" w:eastAsia="宋体" w:cs="宋体"/>
          <w:b w:val="0"/>
          <w:bCs/>
          <w:sz w:val="28"/>
          <w:szCs w:val="18"/>
        </w:rPr>
      </w:pPr>
      <w:bookmarkStart w:id="198" w:name="_Toc29175_WPSOffice_Level1"/>
      <w:bookmarkStart w:id="199" w:name="_Toc2425_WPSOffice_Level2"/>
      <w:bookmarkStart w:id="200" w:name="_Toc16696"/>
      <w:r>
        <w:rPr>
          <w:rFonts w:hint="eastAsia" w:eastAsia="宋体" w:cs="宋体"/>
          <w:b w:val="0"/>
          <w:bCs/>
          <w:sz w:val="28"/>
          <w:szCs w:val="18"/>
        </w:rPr>
        <w:t>附件1 响应函</w:t>
      </w:r>
      <w:bookmarkEnd w:id="198"/>
      <w:bookmarkEnd w:id="199"/>
      <w:bookmarkEnd w:id="200"/>
    </w:p>
    <w:p>
      <w:pPr>
        <w:kinsoku w:val="0"/>
        <w:overflowPunct w:val="0"/>
        <w:snapToGrid w:val="0"/>
        <w:spacing w:line="460" w:lineRule="exact"/>
        <w:textAlignment w:val="auto"/>
        <w:rPr>
          <w:rFonts w:hint="eastAsia" w:ascii="宋体" w:hAnsi="宋体" w:cs="宋体"/>
          <w:spacing w:val="-4"/>
          <w:sz w:val="24"/>
          <w:szCs w:val="24"/>
        </w:rPr>
      </w:pPr>
      <w:r>
        <w:rPr>
          <w:rFonts w:hint="eastAsia" w:ascii="宋体" w:hAnsi="宋体" w:cs="宋体"/>
          <w:spacing w:val="-4"/>
          <w:sz w:val="24"/>
          <w:szCs w:val="24"/>
        </w:rPr>
        <w:t>厦门海发环保能源股份有限公司：</w:t>
      </w:r>
    </w:p>
    <w:p>
      <w:pPr>
        <w:numPr>
          <w:ilvl w:val="0"/>
          <w:numId w:val="54"/>
        </w:numPr>
        <w:kinsoku w:val="0"/>
        <w:overflowPunct w:val="0"/>
        <w:snapToGrid w:val="0"/>
        <w:spacing w:line="460" w:lineRule="exact"/>
        <w:textAlignment w:val="auto"/>
        <w:rPr>
          <w:rFonts w:ascii="宋体" w:hAnsi="宋体" w:cs="宋体"/>
          <w:spacing w:val="-4"/>
          <w:sz w:val="24"/>
          <w:szCs w:val="24"/>
        </w:rPr>
      </w:pPr>
      <w:r>
        <w:rPr>
          <w:rFonts w:hint="eastAsia" w:ascii="宋体" w:hAnsi="宋体" w:cs="宋体"/>
          <w:spacing w:val="-4"/>
          <w:sz w:val="24"/>
          <w:szCs w:val="24"/>
        </w:rPr>
        <w:t>我方已仔细研究了</w:t>
      </w:r>
      <w:r>
        <w:rPr>
          <w:rFonts w:hint="eastAsia" w:ascii="宋体" w:hAnsi="宋体" w:cs="宋体"/>
          <w:kern w:val="2"/>
          <w:sz w:val="24"/>
          <w:szCs w:val="24"/>
          <w:u w:val="single"/>
        </w:rPr>
        <w:t xml:space="preserve"> </w:t>
      </w:r>
      <w:r>
        <w:rPr>
          <w:rFonts w:hint="eastAsia" w:ascii="宋体" w:hAnsi="宋体" w:cs="宋体"/>
          <w:kern w:val="2"/>
          <w:sz w:val="24"/>
          <w:szCs w:val="24"/>
          <w:u w:val="single"/>
          <w:lang w:val="en-US" w:eastAsia="zh-CN"/>
        </w:rPr>
        <w:t xml:space="preserve">   电动闸阀备件采购  </w:t>
      </w:r>
      <w:r>
        <w:rPr>
          <w:rFonts w:hint="eastAsia" w:ascii="宋体" w:hAnsi="宋体" w:cs="宋体"/>
          <w:kern w:val="2"/>
          <w:sz w:val="24"/>
          <w:szCs w:val="24"/>
          <w:u w:val="single"/>
        </w:rPr>
        <w:t xml:space="preserve"> </w:t>
      </w:r>
      <w:r>
        <w:rPr>
          <w:rFonts w:hint="eastAsia" w:ascii="宋体" w:hAnsi="宋体" w:cs="宋体"/>
          <w:kern w:val="2"/>
          <w:sz w:val="24"/>
          <w:szCs w:val="24"/>
          <w:u w:val="single"/>
          <w:lang w:val="en-US" w:eastAsia="zh-CN"/>
        </w:rPr>
        <w:t>项目</w:t>
      </w:r>
      <w:r>
        <w:rPr>
          <w:rFonts w:hint="eastAsia" w:ascii="宋体" w:hAnsi="宋体" w:cs="宋体"/>
          <w:spacing w:val="-4"/>
          <w:sz w:val="24"/>
          <w:szCs w:val="24"/>
        </w:rPr>
        <w:t>的采购文件全部内容，愿意以人民币</w:t>
      </w:r>
      <w:r>
        <w:rPr>
          <w:rFonts w:hint="eastAsia" w:ascii="宋体" w:hAnsi="宋体" w:cs="宋体"/>
          <w:spacing w:val="-4"/>
          <w:sz w:val="24"/>
          <w:szCs w:val="24"/>
          <w:u w:val="single"/>
        </w:rPr>
        <w:t xml:space="preserve">     </w:t>
      </w:r>
      <w:r>
        <w:rPr>
          <w:rFonts w:hint="eastAsia" w:ascii="宋体" w:hAnsi="宋体" w:cs="宋体"/>
          <w:spacing w:val="-4"/>
          <w:sz w:val="24"/>
          <w:szCs w:val="24"/>
          <w:u w:val="single"/>
          <w:lang w:val="en-US" w:eastAsia="zh-CN"/>
        </w:rPr>
        <w:t xml:space="preserve">  </w:t>
      </w:r>
      <w:r>
        <w:rPr>
          <w:rFonts w:hint="eastAsia" w:ascii="宋体" w:hAnsi="宋体" w:cs="宋体"/>
          <w:spacing w:val="-4"/>
          <w:sz w:val="24"/>
          <w:szCs w:val="24"/>
          <w:u w:val="single"/>
        </w:rPr>
        <w:t xml:space="preserve">       </w:t>
      </w:r>
      <w:r>
        <w:rPr>
          <w:rFonts w:hint="eastAsia" w:ascii="宋体" w:hAnsi="宋体" w:cs="宋体"/>
          <w:spacing w:val="-4"/>
          <w:sz w:val="24"/>
          <w:szCs w:val="24"/>
        </w:rPr>
        <w:t>的总报价，含13％增值税专用发票。</w:t>
      </w:r>
      <w:r>
        <w:rPr>
          <w:rFonts w:hint="eastAsia" w:ascii="宋体" w:hAnsi="宋体" w:cs="宋体"/>
          <w:spacing w:val="-4"/>
          <w:sz w:val="24"/>
          <w:szCs w:val="24"/>
          <w:lang w:val="en-US" w:eastAsia="zh-CN"/>
        </w:rPr>
        <w:t>供货期</w:t>
      </w:r>
      <w:r>
        <w:rPr>
          <w:rFonts w:hint="eastAsia" w:ascii="宋体" w:hAnsi="宋体" w:cs="宋体"/>
          <w:spacing w:val="-4"/>
          <w:sz w:val="24"/>
          <w:szCs w:val="24"/>
          <w:u w:val="single"/>
        </w:rPr>
        <w:t xml:space="preserve">  完全满足采购文件要求 </w:t>
      </w:r>
      <w:r>
        <w:rPr>
          <w:rFonts w:hint="eastAsia" w:ascii="宋体" w:hAnsi="宋体" w:cs="宋体"/>
          <w:spacing w:val="-4"/>
          <w:sz w:val="24"/>
          <w:szCs w:val="24"/>
        </w:rPr>
        <w:t>，按照采购文件、</w:t>
      </w:r>
      <w:r>
        <w:rPr>
          <w:rFonts w:hint="eastAsia" w:ascii="宋体" w:hAnsi="宋体" w:cs="宋体"/>
          <w:spacing w:val="-4"/>
          <w:sz w:val="24"/>
          <w:szCs w:val="24"/>
          <w:lang w:val="en-US" w:eastAsia="zh-CN"/>
        </w:rPr>
        <w:t>合同要求供货</w:t>
      </w:r>
      <w:r>
        <w:rPr>
          <w:rFonts w:hint="eastAsia" w:ascii="宋体" w:hAnsi="宋体" w:cs="宋体"/>
          <w:spacing w:val="-4"/>
          <w:sz w:val="24"/>
          <w:szCs w:val="24"/>
        </w:rPr>
        <w:t>。</w:t>
      </w:r>
    </w:p>
    <w:p>
      <w:pPr>
        <w:numPr>
          <w:ilvl w:val="0"/>
          <w:numId w:val="54"/>
        </w:numPr>
        <w:kinsoku w:val="0"/>
        <w:overflowPunct w:val="0"/>
        <w:autoSpaceDE/>
        <w:autoSpaceDN/>
        <w:snapToGrid w:val="0"/>
        <w:spacing w:line="460" w:lineRule="exact"/>
        <w:jc w:val="left"/>
        <w:textAlignment w:val="auto"/>
        <w:rPr>
          <w:rFonts w:ascii="宋体" w:hAnsi="宋体" w:cs="宋体"/>
          <w:spacing w:val="-4"/>
          <w:sz w:val="24"/>
          <w:szCs w:val="24"/>
        </w:rPr>
      </w:pPr>
      <w:r>
        <w:rPr>
          <w:rFonts w:hint="eastAsia" w:ascii="宋体" w:hAnsi="宋体" w:cs="宋体"/>
          <w:spacing w:val="-4"/>
          <w:sz w:val="24"/>
          <w:szCs w:val="24"/>
        </w:rPr>
        <w:t>我方承诺在采购文件规定的报价有效期内不修改、撤销报价文件。</w:t>
      </w:r>
    </w:p>
    <w:p>
      <w:pPr>
        <w:numPr>
          <w:ilvl w:val="0"/>
          <w:numId w:val="54"/>
        </w:numPr>
        <w:kinsoku w:val="0"/>
        <w:overflowPunct w:val="0"/>
        <w:autoSpaceDE/>
        <w:autoSpaceDN/>
        <w:snapToGrid w:val="0"/>
        <w:spacing w:line="460" w:lineRule="exact"/>
        <w:jc w:val="left"/>
        <w:textAlignment w:val="auto"/>
        <w:rPr>
          <w:rFonts w:hint="eastAsia" w:ascii="宋体" w:hAnsi="宋体" w:cs="宋体"/>
          <w:spacing w:val="-4"/>
          <w:sz w:val="24"/>
          <w:szCs w:val="24"/>
        </w:rPr>
      </w:pPr>
      <w:r>
        <w:rPr>
          <w:rFonts w:hint="eastAsia" w:ascii="宋体" w:hAnsi="宋体" w:cs="宋体"/>
          <w:spacing w:val="-4"/>
          <w:sz w:val="24"/>
          <w:szCs w:val="24"/>
        </w:rPr>
        <w:t>如我方中标，我方承诺在收到成交通知书后，在成交通知书规定的期限内完成合同签订，并保证为</w:t>
      </w:r>
      <w:r>
        <w:rPr>
          <w:rFonts w:hint="eastAsia" w:ascii="宋体" w:hAnsi="宋体" w:cs="宋体"/>
          <w:spacing w:val="-4"/>
          <w:sz w:val="24"/>
          <w:szCs w:val="24"/>
          <w:lang w:val="en-US" w:eastAsia="zh-CN"/>
        </w:rPr>
        <w:t>设备</w:t>
      </w:r>
      <w:r>
        <w:rPr>
          <w:rFonts w:hint="eastAsia" w:ascii="宋体" w:hAnsi="宋体" w:cs="宋体"/>
          <w:spacing w:val="-4"/>
          <w:sz w:val="24"/>
          <w:szCs w:val="24"/>
        </w:rPr>
        <w:t>及配套材料质量标准均符合国家有关标准要求。</w:t>
      </w:r>
    </w:p>
    <w:p>
      <w:pPr>
        <w:numPr>
          <w:ilvl w:val="0"/>
          <w:numId w:val="54"/>
        </w:numPr>
        <w:kinsoku w:val="0"/>
        <w:overflowPunct w:val="0"/>
        <w:autoSpaceDE/>
        <w:autoSpaceDN/>
        <w:snapToGrid w:val="0"/>
        <w:spacing w:line="460" w:lineRule="exact"/>
        <w:jc w:val="left"/>
        <w:textAlignment w:val="auto"/>
        <w:rPr>
          <w:rFonts w:ascii="宋体" w:hAnsi="宋体" w:cs="宋体"/>
          <w:spacing w:val="-4"/>
          <w:sz w:val="24"/>
          <w:szCs w:val="24"/>
        </w:rPr>
      </w:pPr>
      <w:r>
        <w:rPr>
          <w:rFonts w:hint="eastAsia" w:ascii="宋体" w:hAnsi="宋体" w:cs="宋体"/>
          <w:spacing w:val="-4"/>
          <w:sz w:val="24"/>
          <w:szCs w:val="24"/>
        </w:rPr>
        <w:t>本响应函及报价文件属于合同文件的组成部分。</w:t>
      </w:r>
    </w:p>
    <w:p>
      <w:pPr>
        <w:numPr>
          <w:ilvl w:val="0"/>
          <w:numId w:val="54"/>
        </w:numPr>
        <w:kinsoku w:val="0"/>
        <w:overflowPunct w:val="0"/>
        <w:autoSpaceDE/>
        <w:autoSpaceDN/>
        <w:snapToGrid w:val="0"/>
        <w:spacing w:line="460" w:lineRule="exact"/>
        <w:jc w:val="left"/>
        <w:textAlignment w:val="auto"/>
        <w:rPr>
          <w:rFonts w:ascii="宋体" w:hAnsi="宋体" w:cs="宋体"/>
          <w:spacing w:val="-4"/>
          <w:sz w:val="24"/>
          <w:szCs w:val="24"/>
        </w:rPr>
      </w:pPr>
      <w:r>
        <w:rPr>
          <w:rFonts w:hint="eastAsia" w:ascii="宋体" w:hAnsi="宋体" w:cs="宋体"/>
          <w:spacing w:val="-4"/>
          <w:sz w:val="24"/>
          <w:szCs w:val="24"/>
        </w:rPr>
        <w:t>我方承诺按采购文件的规定履行合同责任和义务，并在合同约定的期限内完成</w:t>
      </w:r>
      <w:r>
        <w:rPr>
          <w:rFonts w:hint="eastAsia" w:ascii="宋体" w:hAnsi="宋体" w:cs="宋体"/>
          <w:spacing w:val="-4"/>
          <w:sz w:val="24"/>
          <w:szCs w:val="24"/>
          <w:lang w:val="en-US" w:eastAsia="zh-CN"/>
        </w:rPr>
        <w:t>供货</w:t>
      </w:r>
      <w:r>
        <w:rPr>
          <w:rFonts w:hint="eastAsia" w:ascii="宋体" w:hAnsi="宋体" w:cs="宋体"/>
          <w:spacing w:val="-4"/>
          <w:sz w:val="24"/>
          <w:szCs w:val="24"/>
        </w:rPr>
        <w:t>。</w:t>
      </w:r>
    </w:p>
    <w:p>
      <w:pPr>
        <w:numPr>
          <w:ilvl w:val="0"/>
          <w:numId w:val="54"/>
        </w:numPr>
        <w:kinsoku w:val="0"/>
        <w:overflowPunct w:val="0"/>
        <w:autoSpaceDE/>
        <w:autoSpaceDN/>
        <w:snapToGrid w:val="0"/>
        <w:spacing w:line="460" w:lineRule="exact"/>
        <w:jc w:val="left"/>
        <w:textAlignment w:val="auto"/>
        <w:rPr>
          <w:rFonts w:ascii="宋体" w:hAnsi="宋体" w:cs="宋体"/>
          <w:spacing w:val="-4"/>
          <w:sz w:val="24"/>
          <w:szCs w:val="24"/>
        </w:rPr>
      </w:pPr>
      <w:r>
        <w:rPr>
          <w:rFonts w:hint="eastAsia" w:ascii="宋体" w:hAnsi="宋体" w:cs="宋体"/>
          <w:spacing w:val="-4"/>
          <w:sz w:val="24"/>
          <w:szCs w:val="24"/>
        </w:rPr>
        <w:t>我方在此声明，所递交的报价文件及有关资料内容完整、真实和准确，且不存在违反采购文件规定的任何一种条款。</w:t>
      </w:r>
    </w:p>
    <w:p>
      <w:pPr>
        <w:kinsoku w:val="0"/>
        <w:overflowPunct w:val="0"/>
        <w:snapToGrid w:val="0"/>
        <w:spacing w:line="460" w:lineRule="exact"/>
        <w:jc w:val="center"/>
        <w:textAlignment w:val="auto"/>
        <w:rPr>
          <w:rFonts w:hint="eastAsia" w:ascii="宋体" w:hAnsi="宋体" w:cs="宋体"/>
          <w:spacing w:val="-4"/>
          <w:sz w:val="24"/>
          <w:szCs w:val="24"/>
        </w:rPr>
      </w:pPr>
    </w:p>
    <w:p>
      <w:pPr>
        <w:kinsoku w:val="0"/>
        <w:overflowPunct w:val="0"/>
        <w:autoSpaceDE/>
        <w:autoSpaceDN/>
        <w:snapToGrid w:val="0"/>
        <w:spacing w:line="460" w:lineRule="exact"/>
        <w:ind w:firstLine="3712" w:firstLineChars="1600"/>
        <w:textAlignment w:val="auto"/>
        <w:rPr>
          <w:rFonts w:ascii="宋体" w:hAnsi="宋体" w:cs="宋体"/>
          <w:spacing w:val="-4"/>
          <w:sz w:val="24"/>
          <w:szCs w:val="24"/>
          <w:u w:val="single"/>
        </w:rPr>
      </w:pPr>
      <w:r>
        <w:rPr>
          <w:rFonts w:hint="eastAsia" w:ascii="宋体" w:hAnsi="宋体" w:cs="宋体"/>
          <w:spacing w:val="-4"/>
          <w:sz w:val="24"/>
          <w:szCs w:val="24"/>
        </w:rPr>
        <w:t xml:space="preserve">   </w:t>
      </w:r>
      <w:r>
        <w:rPr>
          <w:rFonts w:hint="eastAsia" w:ascii="宋体" w:hAnsi="宋体"/>
          <w:bCs/>
          <w:sz w:val="24"/>
          <w:szCs w:val="24"/>
        </w:rPr>
        <w:t>报价单位（盖公章）：</w:t>
      </w:r>
      <w:r>
        <w:rPr>
          <w:rFonts w:hint="eastAsia" w:ascii="宋体" w:hAnsi="宋体" w:cs="宋体"/>
          <w:spacing w:val="-4"/>
          <w:sz w:val="24"/>
          <w:szCs w:val="24"/>
          <w:u w:val="single"/>
        </w:rPr>
        <w:t xml:space="preserve">                    </w:t>
      </w:r>
    </w:p>
    <w:p>
      <w:pPr>
        <w:kinsoku w:val="0"/>
        <w:overflowPunct w:val="0"/>
        <w:autoSpaceDE/>
        <w:autoSpaceDN/>
        <w:snapToGrid w:val="0"/>
        <w:spacing w:line="460" w:lineRule="exact"/>
        <w:textAlignment w:val="auto"/>
        <w:rPr>
          <w:rFonts w:hint="eastAsia" w:ascii="宋体" w:hAnsi="宋体" w:cs="宋体"/>
          <w:spacing w:val="-4"/>
          <w:sz w:val="24"/>
          <w:szCs w:val="24"/>
          <w:u w:val="single"/>
        </w:rPr>
      </w:pPr>
      <w:r>
        <w:rPr>
          <w:rFonts w:hint="eastAsia" w:ascii="宋体" w:hAnsi="宋体" w:cs="宋体"/>
          <w:spacing w:val="-4"/>
          <w:sz w:val="24"/>
          <w:szCs w:val="24"/>
        </w:rPr>
        <w:t xml:space="preserve">                               法定代表人或授权代理人（签字或盖章）：</w:t>
      </w:r>
      <w:r>
        <w:rPr>
          <w:rFonts w:hint="eastAsia" w:ascii="宋体" w:hAnsi="宋体" w:cs="宋体"/>
          <w:spacing w:val="-4"/>
          <w:sz w:val="24"/>
          <w:szCs w:val="24"/>
          <w:u w:val="single"/>
        </w:rPr>
        <w:t xml:space="preserve">         </w:t>
      </w:r>
    </w:p>
    <w:p>
      <w:pPr>
        <w:kinsoku w:val="0"/>
        <w:overflowPunct w:val="0"/>
        <w:autoSpaceDE/>
        <w:autoSpaceDN/>
        <w:snapToGrid w:val="0"/>
        <w:spacing w:line="460" w:lineRule="exact"/>
        <w:textAlignment w:val="auto"/>
        <w:rPr>
          <w:rFonts w:hint="eastAsia" w:ascii="宋体" w:hAnsi="宋体" w:cs="宋体"/>
          <w:spacing w:val="-4"/>
          <w:sz w:val="24"/>
          <w:szCs w:val="24"/>
        </w:rPr>
      </w:pPr>
      <w:r>
        <w:rPr>
          <w:rFonts w:hint="eastAsia" w:ascii="宋体" w:hAnsi="宋体" w:cs="宋体"/>
          <w:spacing w:val="-4"/>
          <w:sz w:val="24"/>
          <w:szCs w:val="24"/>
        </w:rPr>
        <w:t xml:space="preserve">                                         日期：       年   月   日</w:t>
      </w:r>
    </w:p>
    <w:p>
      <w:pPr>
        <w:pStyle w:val="2"/>
        <w:rPr>
          <w:rFonts w:hint="eastAsia" w:cs="宋体"/>
          <w:bCs/>
          <w:color w:val="000000"/>
          <w:sz w:val="28"/>
          <w:szCs w:val="28"/>
        </w:rPr>
      </w:pPr>
    </w:p>
    <w:p>
      <w:pPr>
        <w:pStyle w:val="2"/>
        <w:rPr>
          <w:rFonts w:hint="eastAsia" w:cs="宋体"/>
          <w:bCs/>
          <w:color w:val="000000"/>
          <w:sz w:val="28"/>
          <w:szCs w:val="28"/>
        </w:rPr>
      </w:pPr>
    </w:p>
    <w:p>
      <w:pPr>
        <w:pStyle w:val="2"/>
        <w:rPr>
          <w:rFonts w:hint="eastAsia" w:cs="宋体"/>
          <w:bCs/>
          <w:color w:val="000000"/>
          <w:sz w:val="28"/>
          <w:szCs w:val="28"/>
        </w:rPr>
      </w:pPr>
    </w:p>
    <w:p>
      <w:pPr>
        <w:pStyle w:val="2"/>
        <w:rPr>
          <w:rFonts w:hint="eastAsia" w:cs="宋体"/>
          <w:bCs/>
          <w:color w:val="000000"/>
          <w:sz w:val="28"/>
          <w:szCs w:val="28"/>
        </w:rPr>
      </w:pPr>
    </w:p>
    <w:p>
      <w:pPr>
        <w:pStyle w:val="2"/>
        <w:rPr>
          <w:rFonts w:hint="eastAsia" w:cs="宋体"/>
          <w:bCs/>
          <w:color w:val="000000"/>
          <w:sz w:val="28"/>
          <w:szCs w:val="28"/>
        </w:rPr>
      </w:pPr>
    </w:p>
    <w:p>
      <w:pPr>
        <w:pStyle w:val="2"/>
        <w:rPr>
          <w:rFonts w:hint="eastAsia" w:cs="宋体"/>
          <w:bCs/>
          <w:color w:val="000000"/>
          <w:sz w:val="28"/>
          <w:szCs w:val="28"/>
        </w:rPr>
      </w:pPr>
    </w:p>
    <w:p>
      <w:pPr>
        <w:pStyle w:val="2"/>
        <w:rPr>
          <w:rFonts w:hint="eastAsia" w:cs="宋体"/>
          <w:bCs/>
          <w:color w:val="000000"/>
          <w:sz w:val="28"/>
          <w:szCs w:val="28"/>
        </w:rPr>
      </w:pPr>
    </w:p>
    <w:p>
      <w:pPr>
        <w:pStyle w:val="2"/>
        <w:rPr>
          <w:rFonts w:hint="eastAsia" w:cs="宋体"/>
          <w:bCs/>
          <w:color w:val="000000"/>
          <w:sz w:val="28"/>
          <w:szCs w:val="28"/>
        </w:rPr>
      </w:pPr>
    </w:p>
    <w:p>
      <w:pPr>
        <w:pStyle w:val="2"/>
        <w:rPr>
          <w:rFonts w:hint="eastAsia" w:cs="宋体"/>
          <w:bCs/>
          <w:color w:val="000000"/>
          <w:sz w:val="28"/>
          <w:szCs w:val="28"/>
        </w:rPr>
      </w:pPr>
    </w:p>
    <w:p>
      <w:pPr>
        <w:pStyle w:val="16"/>
        <w:keepNext w:val="0"/>
        <w:keepLines w:val="0"/>
        <w:kinsoku w:val="0"/>
        <w:overflowPunct w:val="0"/>
        <w:autoSpaceDE w:val="0"/>
        <w:autoSpaceDN w:val="0"/>
        <w:adjustRightInd/>
        <w:spacing w:before="0" w:after="0" w:line="400" w:lineRule="atLeast"/>
        <w:outlineLvl w:val="0"/>
        <w:rPr>
          <w:rFonts w:hint="eastAsia" w:eastAsia="宋体" w:cs="宋体"/>
          <w:b w:val="0"/>
          <w:bCs/>
          <w:sz w:val="28"/>
          <w:szCs w:val="18"/>
        </w:rPr>
      </w:pPr>
      <w:bookmarkStart w:id="201" w:name="_Toc1921"/>
      <w:r>
        <w:rPr>
          <w:rFonts w:hint="eastAsia" w:eastAsia="宋体" w:cs="宋体"/>
          <w:b w:val="0"/>
          <w:bCs/>
          <w:sz w:val="28"/>
          <w:szCs w:val="18"/>
        </w:rPr>
        <w:t>附件</w:t>
      </w:r>
      <w:r>
        <w:rPr>
          <w:rFonts w:hint="eastAsia" w:eastAsia="宋体" w:cs="宋体"/>
          <w:b w:val="0"/>
          <w:bCs/>
          <w:sz w:val="28"/>
          <w:szCs w:val="18"/>
          <w:lang w:val="en-US" w:eastAsia="zh-CN"/>
        </w:rPr>
        <w:t>2</w:t>
      </w:r>
      <w:r>
        <w:rPr>
          <w:rFonts w:hint="eastAsia" w:eastAsia="宋体" w:cs="宋体"/>
          <w:b w:val="0"/>
          <w:bCs/>
          <w:sz w:val="28"/>
          <w:szCs w:val="18"/>
        </w:rPr>
        <w:t>、报价表</w:t>
      </w:r>
      <w:bookmarkEnd w:id="201"/>
    </w:p>
    <w:tbl>
      <w:tblPr>
        <w:tblStyle w:val="11"/>
        <w:tblpPr w:leftFromText="180" w:rightFromText="180" w:vertAnchor="text" w:horzAnchor="page" w:tblpX="1230" w:tblpY="151"/>
        <w:tblOverlap w:val="never"/>
        <w:tblW w:w="4997" w:type="pct"/>
        <w:tblInd w:w="0" w:type="dxa"/>
        <w:tblLayout w:type="autofit"/>
        <w:tblCellMar>
          <w:top w:w="0" w:type="dxa"/>
          <w:left w:w="108" w:type="dxa"/>
          <w:bottom w:w="0" w:type="dxa"/>
          <w:right w:w="108" w:type="dxa"/>
        </w:tblCellMar>
      </w:tblPr>
      <w:tblGrid>
        <w:gridCol w:w="715"/>
        <w:gridCol w:w="1370"/>
        <w:gridCol w:w="2182"/>
        <w:gridCol w:w="727"/>
        <w:gridCol w:w="699"/>
        <w:gridCol w:w="1416"/>
        <w:gridCol w:w="2138"/>
      </w:tblGrid>
      <w:tr>
        <w:tblPrEx>
          <w:tblCellMar>
            <w:top w:w="0" w:type="dxa"/>
            <w:left w:w="108" w:type="dxa"/>
            <w:bottom w:w="0" w:type="dxa"/>
            <w:right w:w="108" w:type="dxa"/>
          </w:tblCellMar>
        </w:tblPrEx>
        <w:trPr>
          <w:trHeight w:val="737" w:hRule="atLeast"/>
        </w:trPr>
        <w:tc>
          <w:tcPr>
            <w:tcW w:w="387"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分项</w:t>
            </w:r>
          </w:p>
        </w:tc>
        <w:tc>
          <w:tcPr>
            <w:tcW w:w="741"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采购品名</w:t>
            </w:r>
          </w:p>
        </w:tc>
        <w:tc>
          <w:tcPr>
            <w:tcW w:w="1180"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规格型号</w:t>
            </w:r>
          </w:p>
        </w:tc>
        <w:tc>
          <w:tcPr>
            <w:tcW w:w="393"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单位</w:t>
            </w:r>
          </w:p>
        </w:tc>
        <w:tc>
          <w:tcPr>
            <w:tcW w:w="376"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数量</w:t>
            </w:r>
          </w:p>
        </w:tc>
        <w:tc>
          <w:tcPr>
            <w:tcW w:w="765"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lang w:val="en-US" w:eastAsia="zh-CN"/>
              </w:rPr>
              <w:t>报价</w:t>
            </w:r>
            <w:r>
              <w:rPr>
                <w:rFonts w:hint="eastAsia" w:asciiTheme="minorEastAsia" w:hAnsiTheme="minorEastAsia" w:cstheme="minorEastAsia"/>
                <w:kern w:val="0"/>
                <w:sz w:val="24"/>
                <w:szCs w:val="24"/>
              </w:rPr>
              <w:t>（元）</w:t>
            </w:r>
          </w:p>
        </w:tc>
        <w:tc>
          <w:tcPr>
            <w:tcW w:w="1155"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制造厂商（品牌）</w:t>
            </w:r>
          </w:p>
        </w:tc>
      </w:tr>
      <w:tr>
        <w:tblPrEx>
          <w:tblCellMar>
            <w:top w:w="0" w:type="dxa"/>
            <w:left w:w="108" w:type="dxa"/>
            <w:bottom w:w="0" w:type="dxa"/>
            <w:right w:w="108" w:type="dxa"/>
          </w:tblCellMar>
        </w:tblPrEx>
        <w:trPr>
          <w:trHeight w:val="1361" w:hRule="atLeast"/>
        </w:trPr>
        <w:tc>
          <w:tcPr>
            <w:tcW w:w="387" w:type="pct"/>
            <w:tcBorders>
              <w:top w:val="single" w:color="auto" w:sz="4" w:space="0"/>
              <w:left w:val="single" w:color="auto" w:sz="4" w:space="0"/>
              <w:right w:val="single" w:color="auto" w:sz="4" w:space="0"/>
            </w:tcBorders>
            <w:shd w:val="clear" w:color="auto" w:fill="auto"/>
            <w:vAlign w:val="center"/>
          </w:tcPr>
          <w:p>
            <w:pPr>
              <w:widowControl/>
              <w:jc w:val="center"/>
              <w:rPr>
                <w:rFonts w:asciiTheme="minorEastAsia" w:hAnsiTheme="minorEastAsia" w:cstheme="minorEastAsia"/>
                <w:szCs w:val="21"/>
              </w:rPr>
            </w:pPr>
            <w:r>
              <w:rPr>
                <w:rFonts w:hint="eastAsia" w:asciiTheme="minorEastAsia" w:hAnsiTheme="minorEastAsia" w:cstheme="minorEastAsia"/>
                <w:szCs w:val="21"/>
              </w:rPr>
              <w:t>1</w:t>
            </w:r>
          </w:p>
        </w:tc>
        <w:tc>
          <w:tcPr>
            <w:tcW w:w="741" w:type="pct"/>
            <w:tcBorders>
              <w:top w:val="single" w:color="auto" w:sz="4" w:space="0"/>
              <w:left w:val="nil"/>
              <w:right w:val="single" w:color="auto" w:sz="4" w:space="0"/>
            </w:tcBorders>
            <w:shd w:val="clear" w:color="auto" w:fill="auto"/>
            <w:vAlign w:val="center"/>
          </w:tcPr>
          <w:p>
            <w:pPr>
              <w:jc w:val="center"/>
              <w:rPr>
                <w:rFonts w:asciiTheme="minorEastAsia" w:hAnsiTheme="minorEastAsia" w:cstheme="minorEastAsia"/>
                <w:szCs w:val="21"/>
              </w:rPr>
            </w:pPr>
            <w:r>
              <w:rPr>
                <w:rFonts w:hint="eastAsia" w:asciiTheme="minorEastAsia" w:hAnsiTheme="minorEastAsia" w:cstheme="minorEastAsia"/>
                <w:sz w:val="24"/>
                <w:szCs w:val="24"/>
              </w:rPr>
              <w:t>电动闸阀</w:t>
            </w:r>
          </w:p>
        </w:tc>
        <w:tc>
          <w:tcPr>
            <w:tcW w:w="1180" w:type="pct"/>
            <w:tcBorders>
              <w:top w:val="single" w:color="auto" w:sz="4" w:space="0"/>
              <w:left w:val="nil"/>
              <w:right w:val="single" w:color="auto" w:sz="4" w:space="0"/>
            </w:tcBorders>
            <w:shd w:val="clear" w:color="auto" w:fill="auto"/>
            <w:vAlign w:val="center"/>
          </w:tcPr>
          <w:p>
            <w:pPr>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Z941H-100，</w:t>
            </w:r>
          </w:p>
          <w:p>
            <w:pPr>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rPr>
              <w:t>PN100，</w:t>
            </w:r>
            <w:r>
              <w:rPr>
                <w:rFonts w:hint="eastAsia" w:asciiTheme="minorEastAsia" w:hAnsiTheme="minorEastAsia" w:cstheme="minorEastAsia"/>
                <w:sz w:val="24"/>
                <w:szCs w:val="24"/>
                <w:lang w:val="en-US" w:eastAsia="zh-CN"/>
              </w:rPr>
              <w:t>DN125</w:t>
            </w:r>
          </w:p>
          <w:p>
            <w:pPr>
              <w:jc w:val="center"/>
              <w:rPr>
                <w:rFonts w:asciiTheme="minorEastAsia" w:hAnsiTheme="minorEastAsia" w:cstheme="minorEastAsia"/>
                <w:szCs w:val="21"/>
              </w:rPr>
            </w:pPr>
            <w:r>
              <w:rPr>
                <w:rFonts w:hint="eastAsia" w:ascii="宋体" w:hAnsi="宋体" w:eastAsia="宋体" w:cs="宋体"/>
                <w:sz w:val="24"/>
                <w:szCs w:val="24"/>
                <w:lang w:val="en-US" w:eastAsia="zh-CN"/>
              </w:rPr>
              <w:t>≮</w:t>
            </w:r>
            <w:r>
              <w:rPr>
                <w:rFonts w:hint="eastAsia" w:ascii="宋体" w:hAnsi="宋体" w:eastAsia="宋体" w:cs="宋体"/>
                <w:sz w:val="24"/>
                <w:szCs w:val="24"/>
              </w:rPr>
              <w:t>425℃</w:t>
            </w:r>
          </w:p>
        </w:tc>
        <w:tc>
          <w:tcPr>
            <w:tcW w:w="393" w:type="pct"/>
            <w:tcBorders>
              <w:top w:val="single" w:color="auto" w:sz="4" w:space="0"/>
              <w:left w:val="single" w:color="auto" w:sz="4" w:space="0"/>
              <w:right w:val="single" w:color="auto" w:sz="4" w:space="0"/>
            </w:tcBorders>
            <w:shd w:val="clear" w:color="auto" w:fill="auto"/>
            <w:noWrap/>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台</w:t>
            </w:r>
          </w:p>
        </w:tc>
        <w:tc>
          <w:tcPr>
            <w:tcW w:w="376" w:type="pct"/>
            <w:tcBorders>
              <w:top w:val="single" w:color="auto" w:sz="4" w:space="0"/>
              <w:left w:val="nil"/>
              <w:right w:val="single" w:color="auto" w:sz="4" w:space="0"/>
            </w:tcBorders>
            <w:shd w:val="clear" w:color="auto" w:fill="auto"/>
            <w:noWrap/>
            <w:vAlign w:val="center"/>
          </w:tcPr>
          <w:p>
            <w:pPr>
              <w:jc w:val="center"/>
              <w:rPr>
                <w:rFonts w:asciiTheme="minorEastAsia" w:hAnsiTheme="minorEastAsia" w:cstheme="minorEastAsia"/>
                <w:szCs w:val="21"/>
              </w:rPr>
            </w:pPr>
            <w:r>
              <w:rPr>
                <w:rFonts w:hint="eastAsia" w:asciiTheme="minorEastAsia" w:hAnsiTheme="minorEastAsia" w:cstheme="minorEastAsia"/>
                <w:szCs w:val="21"/>
              </w:rPr>
              <w:t>1</w:t>
            </w:r>
          </w:p>
        </w:tc>
        <w:tc>
          <w:tcPr>
            <w:tcW w:w="765" w:type="pct"/>
            <w:tcBorders>
              <w:top w:val="single" w:color="auto" w:sz="4" w:space="0"/>
              <w:left w:val="single" w:color="auto" w:sz="4" w:space="0"/>
              <w:right w:val="single" w:color="auto" w:sz="4" w:space="0"/>
            </w:tcBorders>
            <w:shd w:val="clear" w:color="auto" w:fill="auto"/>
            <w:vAlign w:val="center"/>
          </w:tcPr>
          <w:p>
            <w:pPr>
              <w:jc w:val="center"/>
              <w:rPr>
                <w:rFonts w:asciiTheme="minorEastAsia" w:hAnsiTheme="minorEastAsia" w:cstheme="minorEastAsia"/>
                <w:szCs w:val="21"/>
              </w:rPr>
            </w:pPr>
          </w:p>
        </w:tc>
        <w:tc>
          <w:tcPr>
            <w:tcW w:w="1155" w:type="pct"/>
            <w:tcBorders>
              <w:top w:val="single" w:color="auto" w:sz="4" w:space="0"/>
              <w:left w:val="single" w:color="auto" w:sz="4" w:space="0"/>
              <w:right w:val="single" w:color="auto" w:sz="4" w:space="0"/>
            </w:tcBorders>
            <w:shd w:val="clear" w:color="auto" w:fill="auto"/>
            <w:vAlign w:val="center"/>
          </w:tcPr>
          <w:p>
            <w:pPr>
              <w:widowControl/>
              <w:jc w:val="center"/>
              <w:rPr>
                <w:rFonts w:asciiTheme="minorEastAsia" w:hAnsiTheme="minorEastAsia" w:cstheme="minorEastAsia"/>
                <w:szCs w:val="21"/>
              </w:rPr>
            </w:pPr>
          </w:p>
        </w:tc>
      </w:tr>
      <w:tr>
        <w:tblPrEx>
          <w:tblCellMar>
            <w:top w:w="0" w:type="dxa"/>
            <w:left w:w="108" w:type="dxa"/>
            <w:bottom w:w="0" w:type="dxa"/>
            <w:right w:w="108" w:type="dxa"/>
          </w:tblCellMar>
        </w:tblPrEx>
        <w:trPr>
          <w:trHeight w:val="1361" w:hRule="atLeast"/>
        </w:trPr>
        <w:tc>
          <w:tcPr>
            <w:tcW w:w="387" w:type="pct"/>
            <w:tcBorders>
              <w:top w:val="single" w:color="auto" w:sz="4" w:space="0"/>
              <w:left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w:t>
            </w:r>
          </w:p>
        </w:tc>
        <w:tc>
          <w:tcPr>
            <w:tcW w:w="741" w:type="pct"/>
            <w:tcBorders>
              <w:top w:val="single" w:color="auto" w:sz="4" w:space="0"/>
              <w:left w:val="nil"/>
              <w:right w:val="single" w:color="auto" w:sz="4" w:space="0"/>
            </w:tcBorders>
            <w:shd w:val="clear" w:color="auto" w:fill="auto"/>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配套电动执行机构</w:t>
            </w:r>
          </w:p>
        </w:tc>
        <w:tc>
          <w:tcPr>
            <w:tcW w:w="1180" w:type="pct"/>
            <w:tcBorders>
              <w:top w:val="single" w:color="auto" w:sz="4" w:space="0"/>
              <w:left w:val="nil"/>
              <w:right w:val="single" w:color="auto" w:sz="4" w:space="0"/>
            </w:tcBorders>
            <w:shd w:val="clear" w:color="auto" w:fill="auto"/>
            <w:vAlign w:val="center"/>
          </w:tcPr>
          <w:p>
            <w:pPr>
              <w:jc w:val="left"/>
              <w:rPr>
                <w:rFonts w:hint="eastAsia" w:asciiTheme="minorEastAsia" w:hAnsiTheme="minorEastAsia" w:cstheme="minorEastAsia"/>
                <w:szCs w:val="21"/>
                <w:highlight w:val="none"/>
                <w:lang w:val="en-US" w:eastAsia="zh-CN"/>
              </w:rPr>
            </w:pPr>
            <w:r>
              <w:rPr>
                <w:rFonts w:hint="eastAsia" w:asciiTheme="minorEastAsia" w:hAnsiTheme="minorEastAsia" w:cstheme="minorEastAsia"/>
                <w:szCs w:val="21"/>
                <w:highlight w:val="none"/>
                <w:lang w:val="en-US" w:eastAsia="zh-CN"/>
              </w:rPr>
              <w:t>扭力：</w:t>
            </w:r>
          </w:p>
          <w:p>
            <w:pPr>
              <w:jc w:val="left"/>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highlight w:val="none"/>
                <w:lang w:val="en-US" w:eastAsia="zh-CN"/>
              </w:rPr>
              <w:t>（由报价方根据阀门特性填写，必须满足阀门操作要求）</w:t>
            </w:r>
          </w:p>
        </w:tc>
        <w:tc>
          <w:tcPr>
            <w:tcW w:w="393" w:type="pct"/>
            <w:tcBorders>
              <w:top w:val="single" w:color="auto" w:sz="4" w:space="0"/>
              <w:left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台</w:t>
            </w:r>
          </w:p>
        </w:tc>
        <w:tc>
          <w:tcPr>
            <w:tcW w:w="376" w:type="pct"/>
            <w:tcBorders>
              <w:top w:val="single" w:color="auto" w:sz="4" w:space="0"/>
              <w:left w:val="nil"/>
              <w:right w:val="single" w:color="auto" w:sz="4" w:space="0"/>
            </w:tcBorders>
            <w:shd w:val="clear" w:color="auto" w:fill="auto"/>
            <w:noWrap/>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1</w:t>
            </w:r>
          </w:p>
        </w:tc>
        <w:tc>
          <w:tcPr>
            <w:tcW w:w="765" w:type="pct"/>
            <w:tcBorders>
              <w:top w:val="single" w:color="auto" w:sz="4" w:space="0"/>
              <w:left w:val="single" w:color="auto" w:sz="4" w:space="0"/>
              <w:right w:val="single" w:color="auto" w:sz="4" w:space="0"/>
            </w:tcBorders>
            <w:shd w:val="clear" w:color="auto" w:fill="auto"/>
            <w:vAlign w:val="center"/>
          </w:tcPr>
          <w:p>
            <w:pPr>
              <w:jc w:val="center"/>
              <w:rPr>
                <w:rFonts w:asciiTheme="minorEastAsia" w:hAnsiTheme="minorEastAsia" w:cstheme="minorEastAsia"/>
                <w:szCs w:val="21"/>
              </w:rPr>
            </w:pPr>
          </w:p>
        </w:tc>
        <w:tc>
          <w:tcPr>
            <w:tcW w:w="1155" w:type="pct"/>
            <w:tcBorders>
              <w:top w:val="single" w:color="auto" w:sz="4" w:space="0"/>
              <w:left w:val="single" w:color="auto" w:sz="4" w:space="0"/>
              <w:right w:val="single" w:color="auto" w:sz="4" w:space="0"/>
            </w:tcBorders>
            <w:shd w:val="clear" w:color="auto" w:fill="auto"/>
            <w:vAlign w:val="center"/>
          </w:tcPr>
          <w:p>
            <w:pPr>
              <w:widowControl/>
              <w:jc w:val="center"/>
              <w:rPr>
                <w:rFonts w:asciiTheme="minorEastAsia" w:hAnsiTheme="minorEastAsia" w:cstheme="minorEastAsia"/>
                <w:szCs w:val="21"/>
              </w:rPr>
            </w:pPr>
          </w:p>
        </w:tc>
      </w:tr>
      <w:tr>
        <w:tblPrEx>
          <w:tblCellMar>
            <w:top w:w="0" w:type="dxa"/>
            <w:left w:w="108" w:type="dxa"/>
            <w:bottom w:w="0" w:type="dxa"/>
            <w:right w:w="108" w:type="dxa"/>
          </w:tblCellMar>
        </w:tblPrEx>
        <w:trPr>
          <w:trHeight w:val="1562" w:hRule="atLeast"/>
        </w:trPr>
        <w:tc>
          <w:tcPr>
            <w:tcW w:w="3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3</w:t>
            </w:r>
          </w:p>
        </w:tc>
        <w:tc>
          <w:tcPr>
            <w:tcW w:w="74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rPr>
              <w:t>全套法兰、螺栓、垫片等附件</w:t>
            </w:r>
          </w:p>
        </w:tc>
        <w:tc>
          <w:tcPr>
            <w:tcW w:w="1180" w:type="pct"/>
            <w:tcBorders>
              <w:top w:val="single" w:color="auto" w:sz="4" w:space="0"/>
              <w:left w:val="nil"/>
              <w:bottom w:val="single" w:color="auto" w:sz="4" w:space="0"/>
              <w:right w:val="single" w:color="auto" w:sz="4" w:space="0"/>
            </w:tcBorders>
            <w:shd w:val="clear" w:color="auto" w:fill="auto"/>
            <w:vAlign w:val="center"/>
          </w:tcPr>
          <w:p>
            <w:pPr>
              <w:jc w:val="left"/>
              <w:rPr>
                <w:rFonts w:hint="eastAsia" w:asciiTheme="minorEastAsia" w:hAnsiTheme="minorEastAsia" w:cstheme="minorEastAsia"/>
                <w:szCs w:val="21"/>
              </w:rPr>
            </w:pPr>
          </w:p>
        </w:tc>
        <w:tc>
          <w:tcPr>
            <w:tcW w:w="39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项</w:t>
            </w:r>
          </w:p>
        </w:tc>
        <w:tc>
          <w:tcPr>
            <w:tcW w:w="376" w:type="pct"/>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1</w:t>
            </w:r>
          </w:p>
        </w:tc>
        <w:tc>
          <w:tcPr>
            <w:tcW w:w="76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szCs w:val="21"/>
              </w:rPr>
            </w:pPr>
          </w:p>
        </w:tc>
        <w:tc>
          <w:tcPr>
            <w:tcW w:w="11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cstheme="minorEastAsia"/>
                <w:szCs w:val="21"/>
              </w:rPr>
            </w:pPr>
          </w:p>
        </w:tc>
      </w:tr>
      <w:tr>
        <w:tblPrEx>
          <w:tblCellMar>
            <w:top w:w="0" w:type="dxa"/>
            <w:left w:w="108" w:type="dxa"/>
            <w:bottom w:w="0" w:type="dxa"/>
            <w:right w:w="108" w:type="dxa"/>
          </w:tblCellMar>
        </w:tblPrEx>
        <w:trPr>
          <w:trHeight w:val="907" w:hRule="atLeast"/>
        </w:trPr>
        <w:tc>
          <w:tcPr>
            <w:tcW w:w="3079"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cstheme="minorEastAsia"/>
                <w:sz w:val="30"/>
                <w:szCs w:val="30"/>
                <w:lang w:val="en-US" w:eastAsia="zh-CN"/>
              </w:rPr>
            </w:pPr>
            <w:r>
              <w:rPr>
                <w:rFonts w:hint="eastAsia" w:asciiTheme="minorEastAsia" w:hAnsiTheme="minorEastAsia" w:cstheme="minorEastAsia"/>
                <w:sz w:val="30"/>
                <w:szCs w:val="30"/>
                <w:lang w:val="en-US" w:eastAsia="zh-CN"/>
              </w:rPr>
              <w:t>合计（元）</w:t>
            </w:r>
            <w:r>
              <w:rPr>
                <w:rFonts w:hint="eastAsia" w:asciiTheme="minorEastAsia" w:hAnsiTheme="minorEastAsia" w:cstheme="minorEastAsia"/>
                <w:sz w:val="30"/>
                <w:szCs w:val="30"/>
              </w:rPr>
              <w:t>13%增值税专票</w:t>
            </w:r>
          </w:p>
        </w:tc>
        <w:tc>
          <w:tcPr>
            <w:tcW w:w="192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cstheme="minorEastAsia"/>
                <w:sz w:val="30"/>
                <w:szCs w:val="30"/>
              </w:rPr>
            </w:pPr>
          </w:p>
        </w:tc>
      </w:tr>
      <w:tr>
        <w:tblPrEx>
          <w:tblCellMar>
            <w:top w:w="0" w:type="dxa"/>
            <w:left w:w="108" w:type="dxa"/>
            <w:bottom w:w="0" w:type="dxa"/>
            <w:right w:w="108" w:type="dxa"/>
          </w:tblCellMar>
        </w:tblPrEx>
        <w:trPr>
          <w:trHeight w:val="602" w:hRule="atLeast"/>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Theme="minorEastAsia" w:hAnsiTheme="minorEastAsia" w:cstheme="minorEastAsia"/>
                <w:szCs w:val="21"/>
              </w:rPr>
            </w:pPr>
            <w:r>
              <w:rPr>
                <w:rFonts w:hint="eastAsia" w:hAnsi="宋体"/>
                <w:b/>
                <w:sz w:val="24"/>
                <w:szCs w:val="24"/>
              </w:rPr>
              <w:t>备注：</w:t>
            </w:r>
            <w:r>
              <w:rPr>
                <w:rFonts w:hint="eastAsia" w:hAnsi="宋体"/>
                <w:sz w:val="24"/>
                <w:szCs w:val="24"/>
              </w:rPr>
              <w:t>本次采购为整体采购</w:t>
            </w:r>
            <w:r>
              <w:rPr>
                <w:rFonts w:hint="eastAsia" w:hAnsi="宋体"/>
                <w:sz w:val="24"/>
                <w:szCs w:val="24"/>
                <w:lang w:eastAsia="zh-CN"/>
              </w:rPr>
              <w:t>，</w:t>
            </w:r>
            <w:r>
              <w:rPr>
                <w:rFonts w:hint="eastAsia" w:hAnsi="宋体"/>
                <w:sz w:val="24"/>
                <w:szCs w:val="24"/>
              </w:rPr>
              <w:t>响应供应商必须对</w:t>
            </w:r>
            <w:r>
              <w:rPr>
                <w:rFonts w:hint="eastAsia" w:hAnsi="宋体"/>
                <w:sz w:val="24"/>
                <w:szCs w:val="24"/>
                <w:lang w:val="en-US" w:eastAsia="zh-CN"/>
              </w:rPr>
              <w:t>询价</w:t>
            </w:r>
            <w:r>
              <w:rPr>
                <w:rFonts w:hint="eastAsia" w:hAnsi="宋体"/>
                <w:sz w:val="24"/>
                <w:szCs w:val="24"/>
              </w:rPr>
              <w:t>项目一览表中的所有货物进行完整</w:t>
            </w:r>
            <w:r>
              <w:rPr>
                <w:rFonts w:hint="eastAsia" w:hAnsi="宋体"/>
                <w:sz w:val="24"/>
                <w:szCs w:val="24"/>
                <w:lang w:val="en-US" w:eastAsia="zh-CN"/>
              </w:rPr>
              <w:t>报价</w:t>
            </w:r>
            <w:r>
              <w:rPr>
                <w:rFonts w:hint="eastAsia" w:hAnsi="宋体"/>
                <w:sz w:val="24"/>
                <w:szCs w:val="24"/>
              </w:rPr>
              <w:t>响应。</w:t>
            </w:r>
            <w:r>
              <w:rPr>
                <w:rFonts w:hint="eastAsia" w:asciiTheme="minorEastAsia" w:hAnsiTheme="minorEastAsia" w:eastAsiaTheme="minorEastAsia" w:cstheme="minorEastAsia"/>
                <w:sz w:val="24"/>
                <w:szCs w:val="24"/>
              </w:rPr>
              <w:t>对属于整套设备运行和</w:t>
            </w:r>
            <w:r>
              <w:rPr>
                <w:rFonts w:hint="eastAsia" w:asciiTheme="minorEastAsia" w:hAnsiTheme="minorEastAsia" w:cstheme="minorEastAsia"/>
                <w:sz w:val="24"/>
                <w:szCs w:val="24"/>
                <w:lang w:val="en-US" w:eastAsia="zh-CN"/>
              </w:rPr>
              <w:t>安装</w:t>
            </w:r>
            <w:r>
              <w:rPr>
                <w:rFonts w:hint="eastAsia" w:asciiTheme="minorEastAsia" w:hAnsiTheme="minorEastAsia" w:eastAsiaTheme="minorEastAsia" w:cstheme="minorEastAsia"/>
                <w:sz w:val="24"/>
                <w:szCs w:val="24"/>
              </w:rPr>
              <w:t>施工所必需的部件，如本</w:t>
            </w:r>
            <w:r>
              <w:rPr>
                <w:rFonts w:hint="eastAsia" w:asciiTheme="minorEastAsia" w:hAnsiTheme="minorEastAsia" w:cstheme="minorEastAsia"/>
                <w:sz w:val="24"/>
                <w:szCs w:val="24"/>
                <w:lang w:val="en-US" w:eastAsia="zh-CN"/>
              </w:rPr>
              <w:t>报价表中</w:t>
            </w:r>
            <w:r>
              <w:rPr>
                <w:rFonts w:hint="eastAsia" w:asciiTheme="minorEastAsia" w:hAnsiTheme="minorEastAsia" w:eastAsiaTheme="minorEastAsia" w:cstheme="minorEastAsia"/>
                <w:sz w:val="24"/>
                <w:szCs w:val="24"/>
              </w:rPr>
              <w:t>未列出/或数量不足，</w:t>
            </w:r>
            <w:r>
              <w:rPr>
                <w:rFonts w:hint="eastAsia" w:asciiTheme="minorEastAsia" w:hAnsiTheme="minorEastAsia" w:cstheme="minorEastAsia"/>
                <w:sz w:val="24"/>
                <w:szCs w:val="24"/>
                <w:lang w:val="en-US" w:eastAsia="zh-CN"/>
              </w:rPr>
              <w:t>报价</w:t>
            </w:r>
            <w:r>
              <w:rPr>
                <w:rFonts w:hint="eastAsia" w:asciiTheme="minorEastAsia" w:hAnsiTheme="minorEastAsia" w:eastAsiaTheme="minorEastAsia" w:cstheme="minorEastAsia"/>
                <w:sz w:val="24"/>
                <w:szCs w:val="24"/>
              </w:rPr>
              <w:t>方仍需在执行合同时</w:t>
            </w:r>
            <w:r>
              <w:rPr>
                <w:rFonts w:hint="eastAsia" w:asciiTheme="minorEastAsia" w:hAnsiTheme="minorEastAsia" w:cstheme="minorEastAsia"/>
                <w:sz w:val="24"/>
                <w:szCs w:val="24"/>
                <w:lang w:val="en-US" w:eastAsia="zh-CN"/>
              </w:rPr>
              <w:t>予以</w:t>
            </w:r>
            <w:r>
              <w:rPr>
                <w:rFonts w:hint="eastAsia" w:asciiTheme="minorEastAsia" w:hAnsiTheme="minorEastAsia" w:eastAsiaTheme="minorEastAsia" w:cstheme="minorEastAsia"/>
                <w:sz w:val="24"/>
                <w:szCs w:val="24"/>
              </w:rPr>
              <w:t>补足。</w:t>
            </w:r>
          </w:p>
        </w:tc>
      </w:tr>
    </w:tbl>
    <w:p>
      <w:pPr>
        <w:rPr>
          <w:rFonts w:asciiTheme="minorEastAsia" w:hAnsiTheme="minorEastAsia" w:cstheme="minorEastAsia"/>
          <w:sz w:val="24"/>
          <w:szCs w:val="24"/>
        </w:rPr>
      </w:pPr>
    </w:p>
    <w:p>
      <w:pPr>
        <w:rPr>
          <w:rFonts w:asciiTheme="minorEastAsia" w:hAnsiTheme="minorEastAsia" w:cstheme="minorEastAsia"/>
          <w:sz w:val="24"/>
          <w:szCs w:val="24"/>
        </w:rPr>
      </w:pPr>
    </w:p>
    <w:p>
      <w:pPr>
        <w:rPr>
          <w:rFonts w:asciiTheme="minorEastAsia" w:hAnsiTheme="minorEastAsia" w:cstheme="minorEastAsia"/>
          <w:sz w:val="24"/>
          <w:szCs w:val="24"/>
        </w:rPr>
      </w:pPr>
    </w:p>
    <w:p>
      <w:pPr>
        <w:rPr>
          <w:rFonts w:asciiTheme="minorEastAsia" w:hAnsiTheme="minorEastAsia" w:cstheme="minorEastAsia"/>
          <w:sz w:val="24"/>
          <w:szCs w:val="24"/>
        </w:rPr>
      </w:pPr>
    </w:p>
    <w:p>
      <w:pPr>
        <w:rPr>
          <w:rFonts w:asciiTheme="minorEastAsia" w:hAnsiTheme="minorEastAsia" w:cstheme="minorEastAsia"/>
          <w:sz w:val="24"/>
          <w:szCs w:val="24"/>
        </w:rPr>
      </w:pPr>
    </w:p>
    <w:p>
      <w:pPr>
        <w:kinsoku w:val="0"/>
        <w:overflowPunct w:val="0"/>
        <w:autoSpaceDE/>
        <w:autoSpaceDN/>
        <w:snapToGrid w:val="0"/>
        <w:spacing w:line="520" w:lineRule="atLeast"/>
        <w:ind w:firstLine="3840" w:firstLineChars="1600"/>
        <w:textAlignment w:val="auto"/>
        <w:rPr>
          <w:rFonts w:ascii="宋体" w:hAnsi="宋体" w:cs="宋体"/>
          <w:spacing w:val="-4"/>
          <w:sz w:val="24"/>
          <w:szCs w:val="24"/>
          <w:u w:val="single"/>
        </w:rPr>
      </w:pPr>
      <w:r>
        <w:rPr>
          <w:rFonts w:hint="eastAsia" w:hAnsi="宋体"/>
          <w:bCs/>
          <w:sz w:val="24"/>
        </w:rPr>
        <w:t xml:space="preserve"> </w:t>
      </w:r>
      <w:r>
        <w:rPr>
          <w:rFonts w:hint="eastAsia" w:ascii="宋体" w:hAnsi="宋体" w:cs="宋体"/>
          <w:spacing w:val="-4"/>
          <w:sz w:val="24"/>
          <w:szCs w:val="24"/>
        </w:rPr>
        <w:t xml:space="preserve"> </w:t>
      </w:r>
      <w:r>
        <w:rPr>
          <w:rFonts w:hint="eastAsia" w:ascii="宋体" w:hAnsi="宋体"/>
          <w:bCs/>
          <w:sz w:val="24"/>
          <w:szCs w:val="24"/>
        </w:rPr>
        <w:t>报价单位（盖公章）：</w:t>
      </w:r>
      <w:r>
        <w:rPr>
          <w:rFonts w:hint="eastAsia" w:ascii="宋体" w:hAnsi="宋体" w:cs="宋体"/>
          <w:spacing w:val="-4"/>
          <w:sz w:val="24"/>
          <w:szCs w:val="24"/>
          <w:u w:val="single"/>
        </w:rPr>
        <w:t xml:space="preserve">                      </w:t>
      </w:r>
    </w:p>
    <w:p>
      <w:pPr>
        <w:kinsoku w:val="0"/>
        <w:overflowPunct w:val="0"/>
        <w:autoSpaceDE/>
        <w:autoSpaceDN/>
        <w:snapToGrid w:val="0"/>
        <w:spacing w:line="520" w:lineRule="atLeast"/>
        <w:textAlignment w:val="auto"/>
        <w:rPr>
          <w:rFonts w:ascii="宋体" w:hAnsi="宋体" w:cs="宋体"/>
          <w:spacing w:val="-4"/>
          <w:sz w:val="24"/>
          <w:szCs w:val="24"/>
          <w:u w:val="single"/>
        </w:rPr>
      </w:pPr>
      <w:r>
        <w:rPr>
          <w:rFonts w:hint="eastAsia" w:ascii="宋体" w:hAnsi="宋体" w:cs="宋体"/>
          <w:spacing w:val="-4"/>
          <w:sz w:val="24"/>
          <w:szCs w:val="24"/>
        </w:rPr>
        <w:t xml:space="preserve">                          法定代表人或授权代理人（签字或盖章）：</w:t>
      </w:r>
      <w:r>
        <w:rPr>
          <w:rFonts w:hint="eastAsia" w:ascii="宋体" w:hAnsi="宋体" w:cs="宋体"/>
          <w:spacing w:val="-4"/>
          <w:sz w:val="24"/>
          <w:szCs w:val="24"/>
          <w:u w:val="single"/>
        </w:rPr>
        <w:t xml:space="preserve">              </w:t>
      </w:r>
    </w:p>
    <w:p>
      <w:pPr>
        <w:adjustRightInd w:val="0"/>
        <w:snapToGrid w:val="0"/>
        <w:spacing w:line="400" w:lineRule="atLeast"/>
        <w:jc w:val="center"/>
        <w:rPr>
          <w:rFonts w:asciiTheme="minorEastAsia" w:hAnsiTheme="minorEastAsia" w:cstheme="minorEastAsia"/>
          <w:b/>
          <w:bCs/>
          <w:sz w:val="24"/>
          <w:szCs w:val="24"/>
        </w:rPr>
      </w:pPr>
    </w:p>
    <w:p>
      <w:pPr>
        <w:adjustRightInd w:val="0"/>
        <w:snapToGrid w:val="0"/>
        <w:spacing w:line="400" w:lineRule="atLeast"/>
        <w:jc w:val="center"/>
        <w:rPr>
          <w:rFonts w:asciiTheme="minorEastAsia" w:hAnsiTheme="minorEastAsia" w:cstheme="minorEastAsia"/>
          <w:b/>
          <w:bCs/>
          <w:sz w:val="24"/>
          <w:szCs w:val="24"/>
        </w:rPr>
      </w:pPr>
    </w:p>
    <w:p>
      <w:pPr>
        <w:adjustRightInd w:val="0"/>
        <w:snapToGrid w:val="0"/>
        <w:spacing w:line="400" w:lineRule="atLeast"/>
        <w:jc w:val="center"/>
        <w:rPr>
          <w:rFonts w:asciiTheme="minorEastAsia" w:hAnsiTheme="minorEastAsia" w:cstheme="minorEastAsia"/>
          <w:b/>
          <w:bCs/>
          <w:sz w:val="24"/>
          <w:szCs w:val="24"/>
        </w:rPr>
      </w:pPr>
    </w:p>
    <w:p>
      <w:pPr>
        <w:adjustRightInd w:val="0"/>
        <w:snapToGrid w:val="0"/>
        <w:spacing w:line="400" w:lineRule="atLeast"/>
        <w:jc w:val="center"/>
        <w:rPr>
          <w:rFonts w:asciiTheme="minorEastAsia" w:hAnsiTheme="minorEastAsia" w:cstheme="minorEastAsia"/>
          <w:b/>
          <w:bCs/>
          <w:sz w:val="24"/>
          <w:szCs w:val="24"/>
        </w:rPr>
      </w:pPr>
    </w:p>
    <w:p>
      <w:pPr>
        <w:adjustRightInd w:val="0"/>
        <w:snapToGrid w:val="0"/>
        <w:spacing w:line="400" w:lineRule="atLeast"/>
        <w:jc w:val="center"/>
        <w:rPr>
          <w:rFonts w:asciiTheme="minorEastAsia" w:hAnsiTheme="minorEastAsia" w:cstheme="minorEastAsia"/>
          <w:b/>
          <w:bCs/>
          <w:sz w:val="24"/>
          <w:szCs w:val="24"/>
        </w:rPr>
      </w:pPr>
    </w:p>
    <w:p>
      <w:pPr>
        <w:pStyle w:val="2"/>
        <w:rPr>
          <w:rFonts w:hint="eastAsia" w:cs="宋体"/>
          <w:bCs/>
          <w:color w:val="000000"/>
          <w:sz w:val="28"/>
          <w:szCs w:val="28"/>
        </w:rPr>
      </w:pPr>
    </w:p>
    <w:p>
      <w:pPr>
        <w:jc w:val="both"/>
        <w:rPr>
          <w:rFonts w:hint="eastAsia" w:cs="宋体"/>
          <w:bCs/>
          <w:color w:val="000000"/>
          <w:sz w:val="28"/>
          <w:szCs w:val="28"/>
        </w:rPr>
      </w:pPr>
    </w:p>
    <w:p>
      <w:pPr>
        <w:pStyle w:val="16"/>
        <w:keepNext w:val="0"/>
        <w:keepLines w:val="0"/>
        <w:kinsoku w:val="0"/>
        <w:overflowPunct w:val="0"/>
        <w:autoSpaceDE w:val="0"/>
        <w:autoSpaceDN w:val="0"/>
        <w:adjustRightInd/>
        <w:spacing w:before="0" w:after="0" w:line="400" w:lineRule="atLeast"/>
        <w:outlineLvl w:val="0"/>
        <w:rPr>
          <w:rFonts w:hint="eastAsia" w:eastAsia="宋体" w:cs="宋体"/>
          <w:b w:val="0"/>
          <w:bCs/>
          <w:sz w:val="28"/>
          <w:szCs w:val="18"/>
        </w:rPr>
      </w:pPr>
      <w:bookmarkStart w:id="202" w:name="_Toc1372"/>
      <w:r>
        <w:rPr>
          <w:rFonts w:hint="eastAsia" w:eastAsia="宋体" w:cs="宋体"/>
          <w:b w:val="0"/>
          <w:bCs/>
          <w:sz w:val="28"/>
          <w:szCs w:val="18"/>
        </w:rPr>
        <w:t>附件</w:t>
      </w:r>
      <w:r>
        <w:rPr>
          <w:rFonts w:hint="eastAsia" w:eastAsia="宋体" w:cs="宋体"/>
          <w:b w:val="0"/>
          <w:bCs/>
          <w:sz w:val="28"/>
          <w:szCs w:val="18"/>
          <w:lang w:val="en-US" w:eastAsia="zh-CN"/>
        </w:rPr>
        <w:t>3</w:t>
      </w:r>
      <w:r>
        <w:rPr>
          <w:rFonts w:hint="eastAsia" w:eastAsia="宋体" w:cs="宋体"/>
          <w:b w:val="0"/>
          <w:bCs/>
          <w:sz w:val="28"/>
          <w:szCs w:val="18"/>
        </w:rPr>
        <w:t xml:space="preserve">  法定代表人</w:t>
      </w:r>
      <w:r>
        <w:rPr>
          <w:rFonts w:hint="eastAsia" w:eastAsia="宋体" w:cs="宋体"/>
          <w:b w:val="0"/>
          <w:bCs/>
          <w:sz w:val="28"/>
          <w:szCs w:val="18"/>
          <w:lang w:val="en-US" w:eastAsia="zh-CN"/>
        </w:rPr>
        <w:t>身份</w:t>
      </w:r>
      <w:r>
        <w:rPr>
          <w:rFonts w:hint="eastAsia" w:eastAsia="宋体" w:cs="宋体"/>
          <w:b w:val="0"/>
          <w:bCs/>
          <w:sz w:val="28"/>
          <w:szCs w:val="18"/>
        </w:rPr>
        <w:t>证明书</w:t>
      </w:r>
      <w:bookmarkEnd w:id="202"/>
    </w:p>
    <w:p>
      <w:pPr>
        <w:pStyle w:val="16"/>
        <w:keepNext w:val="0"/>
        <w:keepLines w:val="0"/>
        <w:kinsoku w:val="0"/>
        <w:overflowPunct w:val="0"/>
        <w:snapToGrid w:val="0"/>
        <w:spacing w:before="0" w:after="156" w:afterLines="50" w:line="520" w:lineRule="atLeast"/>
        <w:jc w:val="both"/>
        <w:rPr>
          <w:rFonts w:eastAsia="宋体" w:cs="宋体"/>
          <w:b w:val="0"/>
          <w:bCs/>
          <w:color w:val="000000"/>
          <w:sz w:val="24"/>
          <w:szCs w:val="24"/>
          <w:u w:val="single"/>
        </w:rPr>
      </w:pPr>
      <w:r>
        <w:rPr>
          <w:rFonts w:hint="eastAsia" w:eastAsia="宋体" w:cs="宋体"/>
          <w:b w:val="0"/>
          <w:bCs/>
          <w:color w:val="000000"/>
          <w:sz w:val="24"/>
          <w:szCs w:val="24"/>
        </w:rPr>
        <w:t>企业名称：</w:t>
      </w:r>
      <w:r>
        <w:rPr>
          <w:rFonts w:hint="eastAsia" w:eastAsia="宋体" w:cs="宋体"/>
          <w:b w:val="0"/>
          <w:bCs/>
          <w:color w:val="000000"/>
          <w:sz w:val="24"/>
          <w:szCs w:val="24"/>
          <w:u w:val="single"/>
        </w:rPr>
        <w:t xml:space="preserve">                                      </w:t>
      </w:r>
    </w:p>
    <w:p>
      <w:pPr>
        <w:pStyle w:val="16"/>
        <w:keepNext w:val="0"/>
        <w:keepLines w:val="0"/>
        <w:kinsoku w:val="0"/>
        <w:overflowPunct w:val="0"/>
        <w:snapToGrid w:val="0"/>
        <w:spacing w:before="0" w:after="156" w:afterLines="50" w:line="520" w:lineRule="atLeast"/>
        <w:jc w:val="both"/>
        <w:rPr>
          <w:rFonts w:eastAsia="宋体" w:cs="宋体"/>
          <w:b w:val="0"/>
          <w:bCs/>
          <w:color w:val="000000"/>
          <w:sz w:val="24"/>
          <w:szCs w:val="24"/>
          <w:u w:val="single"/>
        </w:rPr>
      </w:pPr>
      <w:r>
        <w:rPr>
          <w:rFonts w:hint="eastAsia" w:eastAsia="宋体" w:cs="宋体"/>
          <w:b w:val="0"/>
          <w:bCs/>
          <w:color w:val="000000"/>
          <w:sz w:val="24"/>
          <w:szCs w:val="24"/>
        </w:rPr>
        <w:t>企业性质：</w:t>
      </w:r>
      <w:r>
        <w:rPr>
          <w:rFonts w:hint="eastAsia" w:eastAsia="宋体" w:cs="宋体"/>
          <w:b w:val="0"/>
          <w:bCs/>
          <w:color w:val="000000"/>
          <w:sz w:val="24"/>
          <w:szCs w:val="24"/>
          <w:u w:val="single"/>
        </w:rPr>
        <w:t xml:space="preserve">                                      </w:t>
      </w:r>
    </w:p>
    <w:p>
      <w:pPr>
        <w:pStyle w:val="16"/>
        <w:keepNext w:val="0"/>
        <w:keepLines w:val="0"/>
        <w:kinsoku w:val="0"/>
        <w:overflowPunct w:val="0"/>
        <w:snapToGrid w:val="0"/>
        <w:spacing w:before="0" w:after="156" w:afterLines="50" w:line="520" w:lineRule="atLeast"/>
        <w:jc w:val="both"/>
        <w:rPr>
          <w:rFonts w:eastAsia="宋体" w:cs="宋体"/>
          <w:b w:val="0"/>
          <w:bCs/>
          <w:color w:val="000000"/>
          <w:sz w:val="24"/>
          <w:szCs w:val="24"/>
          <w:u w:val="single"/>
        </w:rPr>
      </w:pPr>
      <w:r>
        <w:rPr>
          <w:rFonts w:hint="eastAsia" w:eastAsia="宋体" w:cs="宋体"/>
          <w:b w:val="0"/>
          <w:bCs/>
          <w:color w:val="000000"/>
          <w:sz w:val="24"/>
          <w:szCs w:val="24"/>
        </w:rPr>
        <w:t>地   址：</w:t>
      </w:r>
      <w:r>
        <w:rPr>
          <w:rFonts w:hint="eastAsia" w:eastAsia="宋体" w:cs="宋体"/>
          <w:b w:val="0"/>
          <w:bCs/>
          <w:color w:val="000000"/>
          <w:sz w:val="24"/>
          <w:szCs w:val="24"/>
          <w:u w:val="single"/>
        </w:rPr>
        <w:t xml:space="preserve">                                       </w:t>
      </w:r>
    </w:p>
    <w:p>
      <w:pPr>
        <w:pStyle w:val="16"/>
        <w:keepNext w:val="0"/>
        <w:keepLines w:val="0"/>
        <w:kinsoku w:val="0"/>
        <w:overflowPunct w:val="0"/>
        <w:snapToGrid w:val="0"/>
        <w:spacing w:before="0" w:after="156" w:afterLines="50" w:line="520" w:lineRule="atLeast"/>
        <w:jc w:val="both"/>
        <w:rPr>
          <w:rFonts w:eastAsia="宋体" w:cs="宋体"/>
          <w:b w:val="0"/>
          <w:bCs/>
          <w:color w:val="000000"/>
          <w:sz w:val="24"/>
          <w:szCs w:val="24"/>
          <w:u w:val="single"/>
        </w:rPr>
      </w:pPr>
      <w:r>
        <w:rPr>
          <w:rFonts w:hint="eastAsia" w:eastAsia="宋体" w:cs="宋体"/>
          <w:b w:val="0"/>
          <w:bCs/>
          <w:color w:val="000000"/>
          <w:sz w:val="24"/>
          <w:szCs w:val="24"/>
        </w:rPr>
        <w:t>成立时间：</w:t>
      </w:r>
      <w:r>
        <w:rPr>
          <w:rFonts w:hint="eastAsia" w:eastAsia="宋体" w:cs="宋体"/>
          <w:b w:val="0"/>
          <w:bCs/>
          <w:color w:val="000000"/>
          <w:sz w:val="24"/>
          <w:szCs w:val="24"/>
          <w:u w:val="single"/>
        </w:rPr>
        <w:t xml:space="preserve">                                      </w:t>
      </w:r>
    </w:p>
    <w:p>
      <w:pPr>
        <w:pStyle w:val="16"/>
        <w:keepNext w:val="0"/>
        <w:keepLines w:val="0"/>
        <w:kinsoku w:val="0"/>
        <w:overflowPunct w:val="0"/>
        <w:snapToGrid w:val="0"/>
        <w:spacing w:before="0" w:after="156" w:afterLines="50" w:line="520" w:lineRule="atLeast"/>
        <w:jc w:val="both"/>
        <w:rPr>
          <w:rFonts w:eastAsia="宋体" w:cs="宋体"/>
          <w:b w:val="0"/>
          <w:bCs/>
          <w:color w:val="000000"/>
          <w:sz w:val="24"/>
          <w:szCs w:val="24"/>
          <w:u w:val="single"/>
        </w:rPr>
      </w:pPr>
      <w:r>
        <w:rPr>
          <w:rFonts w:hint="eastAsia" w:eastAsia="宋体" w:cs="宋体"/>
          <w:b w:val="0"/>
          <w:bCs/>
          <w:color w:val="000000"/>
          <w:sz w:val="24"/>
          <w:szCs w:val="24"/>
        </w:rPr>
        <w:t>经营期限：</w:t>
      </w:r>
      <w:r>
        <w:rPr>
          <w:rFonts w:hint="eastAsia" w:eastAsia="宋体" w:cs="宋体"/>
          <w:b w:val="0"/>
          <w:bCs/>
          <w:color w:val="000000"/>
          <w:sz w:val="24"/>
          <w:szCs w:val="24"/>
          <w:u w:val="single"/>
        </w:rPr>
        <w:t xml:space="preserve">                                      </w:t>
      </w:r>
    </w:p>
    <w:p>
      <w:pPr>
        <w:pStyle w:val="16"/>
        <w:keepNext w:val="0"/>
        <w:keepLines w:val="0"/>
        <w:kinsoku w:val="0"/>
        <w:overflowPunct w:val="0"/>
        <w:snapToGrid w:val="0"/>
        <w:spacing w:before="0" w:after="156" w:afterLines="50" w:line="520" w:lineRule="atLeast"/>
        <w:jc w:val="both"/>
        <w:rPr>
          <w:rFonts w:eastAsia="宋体" w:cs="宋体"/>
          <w:b w:val="0"/>
          <w:bCs/>
          <w:color w:val="000000"/>
          <w:sz w:val="24"/>
          <w:szCs w:val="24"/>
          <w:u w:val="single"/>
        </w:rPr>
      </w:pPr>
      <w:r>
        <w:rPr>
          <w:rFonts w:hint="eastAsia" w:eastAsia="宋体" w:cs="宋体"/>
          <w:b w:val="0"/>
          <w:bCs/>
          <w:color w:val="000000"/>
          <w:sz w:val="24"/>
          <w:szCs w:val="24"/>
        </w:rPr>
        <w:t>姓名：</w:t>
      </w:r>
      <w:r>
        <w:rPr>
          <w:rFonts w:hint="eastAsia" w:eastAsia="宋体" w:cs="宋体"/>
          <w:b w:val="0"/>
          <w:bCs/>
          <w:color w:val="000000"/>
          <w:sz w:val="24"/>
          <w:szCs w:val="24"/>
          <w:u w:val="single"/>
        </w:rPr>
        <w:t xml:space="preserve">                 </w:t>
      </w:r>
      <w:r>
        <w:rPr>
          <w:rFonts w:hint="eastAsia" w:eastAsia="宋体" w:cs="宋体"/>
          <w:b w:val="0"/>
          <w:bCs/>
          <w:color w:val="000000"/>
          <w:sz w:val="24"/>
          <w:szCs w:val="24"/>
        </w:rPr>
        <w:t xml:space="preserve"> 性别：</w:t>
      </w:r>
      <w:r>
        <w:rPr>
          <w:rFonts w:hint="eastAsia" w:eastAsia="宋体" w:cs="宋体"/>
          <w:b w:val="0"/>
          <w:bCs/>
          <w:color w:val="000000"/>
          <w:sz w:val="24"/>
          <w:szCs w:val="24"/>
          <w:u w:val="single"/>
        </w:rPr>
        <w:t xml:space="preserve">                  </w:t>
      </w:r>
    </w:p>
    <w:p>
      <w:pPr>
        <w:pStyle w:val="16"/>
        <w:keepNext w:val="0"/>
        <w:keepLines w:val="0"/>
        <w:kinsoku w:val="0"/>
        <w:overflowPunct w:val="0"/>
        <w:snapToGrid w:val="0"/>
        <w:spacing w:before="0" w:after="156" w:afterLines="50" w:line="520" w:lineRule="atLeast"/>
        <w:jc w:val="both"/>
        <w:rPr>
          <w:rFonts w:eastAsia="宋体" w:cs="宋体"/>
          <w:b w:val="0"/>
          <w:bCs/>
          <w:color w:val="000000"/>
          <w:sz w:val="24"/>
          <w:szCs w:val="24"/>
        </w:rPr>
      </w:pPr>
      <w:r>
        <w:rPr>
          <w:rFonts w:hint="eastAsia" w:eastAsia="宋体" w:cs="宋体"/>
          <w:b w:val="0"/>
          <w:bCs/>
          <w:color w:val="000000"/>
          <w:sz w:val="24"/>
          <w:szCs w:val="24"/>
        </w:rPr>
        <w:t>年龄：</w:t>
      </w:r>
      <w:r>
        <w:rPr>
          <w:rFonts w:hint="eastAsia" w:eastAsia="宋体" w:cs="宋体"/>
          <w:b w:val="0"/>
          <w:bCs/>
          <w:color w:val="000000"/>
          <w:sz w:val="24"/>
          <w:szCs w:val="24"/>
          <w:u w:val="single"/>
        </w:rPr>
        <w:t xml:space="preserve">                 </w:t>
      </w:r>
      <w:r>
        <w:rPr>
          <w:rFonts w:hint="eastAsia" w:eastAsia="宋体" w:cs="宋体"/>
          <w:b w:val="0"/>
          <w:bCs/>
          <w:color w:val="000000"/>
          <w:sz w:val="24"/>
          <w:szCs w:val="24"/>
        </w:rPr>
        <w:t xml:space="preserve"> 职务：</w:t>
      </w:r>
      <w:r>
        <w:rPr>
          <w:rFonts w:hint="eastAsia" w:eastAsia="宋体" w:cs="宋体"/>
          <w:b w:val="0"/>
          <w:bCs/>
          <w:color w:val="000000"/>
          <w:sz w:val="24"/>
          <w:szCs w:val="24"/>
          <w:u w:val="single"/>
        </w:rPr>
        <w:t xml:space="preserve">                  </w:t>
      </w:r>
      <w:r>
        <w:rPr>
          <w:rFonts w:hint="eastAsia" w:eastAsia="宋体" w:cs="宋体"/>
          <w:b w:val="0"/>
          <w:bCs/>
          <w:color w:val="000000"/>
          <w:sz w:val="24"/>
          <w:szCs w:val="24"/>
        </w:rPr>
        <w:t xml:space="preserve"> </w:t>
      </w:r>
    </w:p>
    <w:p>
      <w:pPr>
        <w:pStyle w:val="16"/>
        <w:keepNext w:val="0"/>
        <w:keepLines w:val="0"/>
        <w:kinsoku w:val="0"/>
        <w:overflowPunct w:val="0"/>
        <w:snapToGrid w:val="0"/>
        <w:spacing w:before="0" w:after="156" w:afterLines="50" w:line="520" w:lineRule="atLeast"/>
        <w:jc w:val="both"/>
        <w:rPr>
          <w:rFonts w:eastAsia="宋体" w:cs="宋体"/>
          <w:b w:val="0"/>
          <w:bCs/>
          <w:color w:val="000000"/>
          <w:sz w:val="24"/>
          <w:szCs w:val="24"/>
        </w:rPr>
      </w:pPr>
      <w:r>
        <w:rPr>
          <w:rFonts w:hint="eastAsia" w:eastAsia="宋体" w:cs="宋体"/>
          <w:b w:val="0"/>
          <w:bCs/>
          <w:color w:val="000000"/>
          <w:sz w:val="24"/>
          <w:szCs w:val="24"/>
        </w:rPr>
        <w:t>系</w:t>
      </w:r>
      <w:r>
        <w:rPr>
          <w:rFonts w:hint="eastAsia" w:eastAsia="宋体" w:cs="宋体"/>
          <w:b w:val="0"/>
          <w:bCs/>
          <w:color w:val="000000"/>
          <w:sz w:val="24"/>
          <w:szCs w:val="24"/>
          <w:u w:val="single"/>
        </w:rPr>
        <w:t xml:space="preserve">                              </w:t>
      </w:r>
      <w:r>
        <w:rPr>
          <w:rFonts w:hint="eastAsia" w:eastAsia="宋体" w:cs="宋体"/>
          <w:b w:val="0"/>
          <w:bCs/>
          <w:color w:val="000000"/>
          <w:sz w:val="24"/>
          <w:szCs w:val="24"/>
        </w:rPr>
        <w:t>（报价单位全称）的法定代表人。</w:t>
      </w:r>
    </w:p>
    <w:p>
      <w:pPr>
        <w:pStyle w:val="16"/>
        <w:keepNext w:val="0"/>
        <w:keepLines w:val="0"/>
        <w:kinsoku w:val="0"/>
        <w:overflowPunct w:val="0"/>
        <w:snapToGrid w:val="0"/>
        <w:spacing w:before="0" w:after="156" w:afterLines="50" w:line="520" w:lineRule="atLeast"/>
        <w:ind w:firstLine="520" w:firstLineChars="200"/>
        <w:jc w:val="both"/>
        <w:rPr>
          <w:rFonts w:eastAsia="宋体" w:cs="宋体"/>
          <w:b w:val="0"/>
          <w:bCs/>
          <w:color w:val="000000"/>
          <w:sz w:val="24"/>
          <w:szCs w:val="24"/>
        </w:rPr>
      </w:pPr>
      <w:r>
        <w:rPr>
          <w:rFonts w:hint="eastAsia" w:eastAsia="宋体" w:cs="宋体"/>
          <w:b w:val="0"/>
          <w:bCs/>
          <w:color w:val="000000"/>
          <w:sz w:val="24"/>
          <w:szCs w:val="24"/>
        </w:rPr>
        <w:t>特此证明！</w:t>
      </w:r>
    </w:p>
    <w:p>
      <w:pPr>
        <w:pStyle w:val="16"/>
        <w:keepNext w:val="0"/>
        <w:keepLines w:val="0"/>
        <w:kinsoku w:val="0"/>
        <w:overflowPunct w:val="0"/>
        <w:snapToGrid w:val="0"/>
        <w:spacing w:before="0" w:after="156" w:afterLines="50" w:line="520" w:lineRule="atLeast"/>
        <w:jc w:val="both"/>
        <w:rPr>
          <w:rFonts w:eastAsia="宋体" w:cs="宋体"/>
          <w:b w:val="0"/>
          <w:bCs/>
          <w:color w:val="000000"/>
          <w:sz w:val="24"/>
          <w:szCs w:val="24"/>
        </w:rPr>
      </w:pPr>
      <w:r>
        <w:rPr>
          <w:rFonts w:hint="eastAsia" w:eastAsia="宋体" w:cs="宋体"/>
          <w:b w:val="0"/>
          <w:bCs/>
          <w:color w:val="000000"/>
          <w:sz w:val="24"/>
          <w:szCs w:val="24"/>
        </w:rPr>
        <w:t>附：法定代表人身份证正反面复印件</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6"/>
        <w:gridCol w:w="4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color w:val="000000"/>
                <w:sz w:val="24"/>
                <w:szCs w:val="24"/>
              </w:rPr>
            </w:pPr>
            <w:r>
              <w:rPr>
                <w:rFonts w:hint="eastAsia" w:ascii="宋体" w:hAnsi="宋体"/>
                <w:color w:val="000000"/>
                <w:sz w:val="24"/>
                <w:szCs w:val="24"/>
              </w:rPr>
              <w:t>身份证复印件</w:t>
            </w:r>
          </w:p>
        </w:tc>
        <w:tc>
          <w:tcPr>
            <w:tcW w:w="2500" w:type="pct"/>
          </w:tcPr>
          <w:p>
            <w:pPr>
              <w:spacing w:line="440" w:lineRule="exact"/>
              <w:rPr>
                <w:rFonts w:ascii="宋体" w:hAnsi="宋体"/>
                <w:color w:val="000000"/>
                <w:sz w:val="24"/>
                <w:szCs w:val="24"/>
              </w:rPr>
            </w:pPr>
          </w:p>
        </w:tc>
      </w:tr>
    </w:tbl>
    <w:p>
      <w:pPr>
        <w:pStyle w:val="16"/>
        <w:keepNext w:val="0"/>
        <w:keepLines w:val="0"/>
        <w:autoSpaceDE w:val="0"/>
        <w:autoSpaceDN w:val="0"/>
        <w:snapToGrid w:val="0"/>
        <w:spacing w:before="0" w:after="0" w:line="240" w:lineRule="auto"/>
        <w:outlineLvl w:val="9"/>
        <w:rPr>
          <w:rFonts w:eastAsia="宋体" w:cs="宋体"/>
          <w:b w:val="0"/>
          <w:bCs/>
          <w:color w:val="000000"/>
          <w:sz w:val="28"/>
          <w:szCs w:val="28"/>
        </w:rPr>
      </w:pPr>
    </w:p>
    <w:p>
      <w:pPr>
        <w:kinsoku w:val="0"/>
        <w:overflowPunct w:val="0"/>
        <w:snapToGrid w:val="0"/>
        <w:spacing w:line="520" w:lineRule="exact"/>
        <w:ind w:firstLine="3600" w:firstLineChars="1500"/>
        <w:jc w:val="left"/>
        <w:rPr>
          <w:rFonts w:ascii="宋体" w:hAnsi="宋体"/>
          <w:bCs/>
          <w:color w:val="000000"/>
          <w:sz w:val="24"/>
          <w:szCs w:val="24"/>
        </w:rPr>
      </w:pPr>
      <w:r>
        <w:rPr>
          <w:rFonts w:hint="eastAsia" w:ascii="宋体" w:hAnsi="宋体"/>
          <w:bCs/>
          <w:color w:val="000000"/>
          <w:sz w:val="24"/>
          <w:szCs w:val="24"/>
        </w:rPr>
        <w:t>报价单位（盖公章）：</w:t>
      </w:r>
      <w:r>
        <w:rPr>
          <w:rFonts w:ascii="宋体" w:hAnsi="宋体"/>
          <w:bCs/>
          <w:color w:val="000000"/>
          <w:sz w:val="24"/>
          <w:szCs w:val="24"/>
          <w:u w:val="single"/>
        </w:rPr>
        <w:t xml:space="preserve">                </w:t>
      </w:r>
      <w:r>
        <w:rPr>
          <w:rFonts w:hint="eastAsia" w:ascii="宋体" w:hAnsi="宋体"/>
          <w:bCs/>
          <w:color w:val="000000"/>
          <w:sz w:val="24"/>
          <w:szCs w:val="24"/>
          <w:u w:val="single"/>
        </w:rPr>
        <w:t xml:space="preserve">     </w:t>
      </w:r>
      <w:r>
        <w:rPr>
          <w:rFonts w:ascii="宋体" w:hAnsi="宋体"/>
          <w:bCs/>
          <w:color w:val="000000"/>
          <w:sz w:val="24"/>
          <w:szCs w:val="24"/>
          <w:u w:val="single"/>
        </w:rPr>
        <w:t xml:space="preserve">    </w:t>
      </w:r>
    </w:p>
    <w:p>
      <w:pPr>
        <w:pStyle w:val="16"/>
        <w:keepNext w:val="0"/>
        <w:keepLines w:val="0"/>
        <w:kinsoku w:val="0"/>
        <w:overflowPunct w:val="0"/>
        <w:snapToGrid w:val="0"/>
        <w:spacing w:before="0" w:after="0" w:line="240" w:lineRule="auto"/>
        <w:jc w:val="both"/>
        <w:outlineLvl w:val="9"/>
        <w:rPr>
          <w:rFonts w:eastAsia="宋体" w:cs="宋体"/>
          <w:b w:val="0"/>
          <w:bCs/>
          <w:color w:val="000000"/>
          <w:sz w:val="24"/>
          <w:szCs w:val="24"/>
        </w:rPr>
      </w:pPr>
    </w:p>
    <w:p>
      <w:pPr>
        <w:kinsoku w:val="0"/>
        <w:overflowPunct w:val="0"/>
        <w:snapToGrid w:val="0"/>
        <w:spacing w:line="520" w:lineRule="exact"/>
        <w:ind w:firstLine="5520" w:firstLineChars="2300"/>
        <w:jc w:val="left"/>
        <w:rPr>
          <w:rFonts w:ascii="宋体" w:hAnsi="宋体"/>
          <w:bCs/>
          <w:color w:val="000000"/>
          <w:sz w:val="24"/>
          <w:szCs w:val="24"/>
        </w:rPr>
      </w:pPr>
      <w:r>
        <w:rPr>
          <w:rFonts w:hint="eastAsia" w:ascii="宋体" w:hAnsi="宋体"/>
          <w:bCs/>
          <w:color w:val="000000"/>
          <w:sz w:val="24"/>
          <w:szCs w:val="24"/>
        </w:rPr>
        <w:t>日期：</w:t>
      </w:r>
      <w:r>
        <w:rPr>
          <w:rFonts w:ascii="宋体" w:hAnsi="宋体"/>
          <w:bCs/>
          <w:color w:val="000000"/>
          <w:sz w:val="24"/>
          <w:szCs w:val="24"/>
          <w:u w:val="single"/>
        </w:rPr>
        <w:t xml:space="preserve">             </w:t>
      </w:r>
      <w:r>
        <w:rPr>
          <w:rFonts w:hint="eastAsia" w:ascii="宋体" w:hAnsi="宋体"/>
          <w:bCs/>
          <w:color w:val="000000"/>
          <w:sz w:val="24"/>
          <w:szCs w:val="24"/>
          <w:u w:val="single"/>
        </w:rPr>
        <w:t xml:space="preserve">        </w:t>
      </w:r>
      <w:r>
        <w:rPr>
          <w:rFonts w:ascii="宋体" w:hAnsi="宋体"/>
          <w:bCs/>
          <w:color w:val="000000"/>
          <w:sz w:val="24"/>
          <w:szCs w:val="24"/>
          <w:u w:val="single"/>
        </w:rPr>
        <w:t xml:space="preserve">  </w:t>
      </w:r>
    </w:p>
    <w:p>
      <w:pPr>
        <w:pStyle w:val="16"/>
        <w:keepNext w:val="0"/>
        <w:keepLines w:val="0"/>
        <w:kinsoku w:val="0"/>
        <w:overflowPunct w:val="0"/>
        <w:snapToGrid w:val="0"/>
        <w:spacing w:before="0" w:after="0" w:line="240" w:lineRule="auto"/>
        <w:jc w:val="both"/>
        <w:rPr>
          <w:rFonts w:eastAsia="宋体" w:cs="宋体"/>
          <w:b w:val="0"/>
          <w:bCs/>
          <w:color w:val="000000"/>
          <w:sz w:val="24"/>
          <w:szCs w:val="24"/>
        </w:rPr>
      </w:pPr>
      <w:r>
        <w:rPr>
          <w:rFonts w:hint="eastAsia" w:eastAsia="宋体" w:cs="宋体"/>
          <w:b w:val="0"/>
          <w:bCs/>
          <w:color w:val="000000"/>
          <w:sz w:val="24"/>
          <w:szCs w:val="24"/>
        </w:rPr>
        <w:t>备注：法定代表人身份证正反面复印件可单独一页，但需加盖企业公章。</w:t>
      </w:r>
    </w:p>
    <w:p>
      <w:pPr>
        <w:pStyle w:val="16"/>
        <w:keepNext w:val="0"/>
        <w:keepLines w:val="0"/>
        <w:kinsoku w:val="0"/>
        <w:overflowPunct w:val="0"/>
        <w:snapToGrid w:val="0"/>
        <w:spacing w:before="0" w:after="0" w:line="240" w:lineRule="auto"/>
        <w:outlineLvl w:val="9"/>
        <w:rPr>
          <w:rFonts w:eastAsia="宋体" w:cs="宋体"/>
          <w:b w:val="0"/>
          <w:bCs/>
          <w:color w:val="000000"/>
          <w:sz w:val="28"/>
          <w:szCs w:val="28"/>
        </w:rPr>
      </w:pPr>
    </w:p>
    <w:p>
      <w:pPr>
        <w:pStyle w:val="16"/>
        <w:keepNext w:val="0"/>
        <w:keepLines w:val="0"/>
        <w:kinsoku w:val="0"/>
        <w:overflowPunct w:val="0"/>
        <w:snapToGrid w:val="0"/>
        <w:spacing w:before="0" w:after="0" w:line="240" w:lineRule="auto"/>
        <w:outlineLvl w:val="0"/>
        <w:rPr>
          <w:rFonts w:hint="eastAsia" w:eastAsia="宋体" w:cs="宋体"/>
          <w:b w:val="0"/>
          <w:bCs/>
          <w:color w:val="000000"/>
          <w:sz w:val="28"/>
          <w:szCs w:val="28"/>
        </w:rPr>
      </w:pPr>
      <w:bookmarkStart w:id="203" w:name="_Toc19092"/>
      <w:r>
        <w:rPr>
          <w:rFonts w:hint="eastAsia" w:eastAsia="宋体" w:cs="宋体"/>
          <w:b w:val="0"/>
          <w:bCs/>
          <w:color w:val="000000"/>
          <w:sz w:val="28"/>
          <w:szCs w:val="28"/>
        </w:rPr>
        <w:t>附件</w:t>
      </w:r>
      <w:r>
        <w:rPr>
          <w:rFonts w:hint="eastAsia" w:eastAsia="宋体" w:cs="宋体"/>
          <w:b w:val="0"/>
          <w:bCs/>
          <w:color w:val="000000"/>
          <w:sz w:val="28"/>
          <w:szCs w:val="28"/>
          <w:lang w:val="en-US" w:eastAsia="zh-CN"/>
        </w:rPr>
        <w:t>4</w:t>
      </w:r>
      <w:r>
        <w:rPr>
          <w:rFonts w:hint="eastAsia" w:eastAsia="宋体" w:cs="宋体"/>
          <w:b w:val="0"/>
          <w:bCs/>
          <w:color w:val="000000"/>
          <w:sz w:val="28"/>
          <w:szCs w:val="28"/>
        </w:rPr>
        <w:t xml:space="preserve"> 法人授权委托书</w:t>
      </w:r>
      <w:bookmarkEnd w:id="203"/>
    </w:p>
    <w:p>
      <w:pPr>
        <w:pStyle w:val="16"/>
        <w:keepNext w:val="0"/>
        <w:keepLines w:val="0"/>
        <w:kinsoku w:val="0"/>
        <w:overflowPunct w:val="0"/>
        <w:snapToGrid w:val="0"/>
        <w:spacing w:before="0" w:after="0" w:line="240" w:lineRule="auto"/>
        <w:outlineLvl w:val="0"/>
        <w:rPr>
          <w:rFonts w:hint="eastAsia" w:eastAsia="宋体" w:cs="宋体"/>
          <w:b w:val="0"/>
          <w:bCs/>
          <w:color w:val="000000"/>
          <w:sz w:val="28"/>
          <w:szCs w:val="28"/>
        </w:rPr>
      </w:pPr>
    </w:p>
    <w:p>
      <w:pPr>
        <w:kinsoku w:val="0"/>
        <w:overflowPunct w:val="0"/>
        <w:snapToGrid w:val="0"/>
        <w:spacing w:line="520" w:lineRule="exact"/>
        <w:ind w:firstLine="630"/>
        <w:jc w:val="left"/>
        <w:rPr>
          <w:rFonts w:ascii="宋体" w:hAnsi="宋体" w:cs="宋体"/>
          <w:color w:val="000000"/>
          <w:sz w:val="24"/>
          <w:szCs w:val="32"/>
        </w:rPr>
      </w:pPr>
      <w:r>
        <w:rPr>
          <w:rFonts w:hint="eastAsia" w:ascii="宋体" w:hAnsi="宋体" w:cs="宋体"/>
          <w:color w:val="000000"/>
          <w:sz w:val="24"/>
          <w:szCs w:val="32"/>
        </w:rPr>
        <w:t>授权声明：</w:t>
      </w:r>
      <w:r>
        <w:rPr>
          <w:rFonts w:hint="eastAsia" w:ascii="宋体" w:hAnsi="宋体" w:cs="宋体"/>
          <w:color w:val="000000"/>
          <w:sz w:val="24"/>
          <w:szCs w:val="32"/>
          <w:u w:val="single"/>
        </w:rPr>
        <w:t xml:space="preserve"> </w:t>
      </w:r>
      <w:r>
        <w:rPr>
          <w:rFonts w:hint="eastAsia"/>
          <w:color w:val="000000"/>
          <w:sz w:val="24"/>
          <w:szCs w:val="24"/>
          <w:u w:val="single"/>
        </w:rPr>
        <w:t xml:space="preserve">（报价单位名称） </w:t>
      </w:r>
      <w:r>
        <w:rPr>
          <w:rFonts w:hint="eastAsia"/>
          <w:color w:val="000000"/>
          <w:sz w:val="24"/>
          <w:szCs w:val="24"/>
        </w:rPr>
        <w:t>授权</w:t>
      </w:r>
      <w:r>
        <w:rPr>
          <w:rFonts w:hint="eastAsia"/>
          <w:color w:val="000000"/>
          <w:sz w:val="24"/>
          <w:szCs w:val="24"/>
          <w:u w:val="single"/>
        </w:rPr>
        <w:t xml:space="preserve"> （授权代理人） </w:t>
      </w:r>
      <w:r>
        <w:rPr>
          <w:rFonts w:hint="eastAsia"/>
          <w:color w:val="000000"/>
          <w:sz w:val="24"/>
          <w:szCs w:val="24"/>
        </w:rPr>
        <w:t>为我公司的代理人，以本公司的名义负责</w:t>
      </w:r>
      <w:r>
        <w:rPr>
          <w:rFonts w:hint="eastAsia"/>
          <w:bCs/>
          <w:color w:val="000000"/>
          <w:sz w:val="24"/>
          <w:szCs w:val="32"/>
        </w:rPr>
        <w:t>参与</w:t>
      </w:r>
      <w:r>
        <w:rPr>
          <w:rFonts w:hint="eastAsia" w:ascii="宋体" w:hAnsi="宋体" w:cs="宋体"/>
          <w:color w:val="000000"/>
          <w:sz w:val="24"/>
          <w:szCs w:val="24"/>
          <w:u w:val="single"/>
        </w:rPr>
        <w:t xml:space="preserve"> 电动闸阀备件采购 </w:t>
      </w:r>
      <w:r>
        <w:rPr>
          <w:rFonts w:hint="eastAsia"/>
          <w:bCs/>
          <w:color w:val="000000"/>
          <w:sz w:val="24"/>
          <w:szCs w:val="32"/>
        </w:rPr>
        <w:t>的报价，该代理人在报价及后续的合同执行过程中，所签署的一切文件及所处理的与我公司有关的一切事务，我公司均予以承认。</w:t>
      </w:r>
      <w:r>
        <w:rPr>
          <w:rFonts w:hint="eastAsia" w:ascii="宋体" w:hAnsi="宋体"/>
          <w:bCs/>
          <w:color w:val="000000"/>
          <w:sz w:val="24"/>
        </w:rPr>
        <w:t>本授权书于</w:t>
      </w:r>
      <w:r>
        <w:rPr>
          <w:rFonts w:ascii="宋体" w:hAnsi="宋体"/>
          <w:bCs/>
          <w:color w:val="000000"/>
          <w:sz w:val="24"/>
          <w:u w:val="single"/>
        </w:rPr>
        <w:t xml:space="preserve">      </w:t>
      </w:r>
      <w:r>
        <w:rPr>
          <w:rFonts w:hint="eastAsia" w:ascii="宋体" w:hAnsi="宋体"/>
          <w:bCs/>
          <w:color w:val="000000"/>
          <w:sz w:val="24"/>
        </w:rPr>
        <w:t>年</w:t>
      </w:r>
      <w:r>
        <w:rPr>
          <w:rFonts w:ascii="宋体" w:hAnsi="宋体"/>
          <w:bCs/>
          <w:color w:val="000000"/>
          <w:sz w:val="24"/>
          <w:u w:val="single"/>
        </w:rPr>
        <w:t xml:space="preserve">     </w:t>
      </w:r>
      <w:r>
        <w:rPr>
          <w:rFonts w:hint="eastAsia" w:ascii="宋体" w:hAnsi="宋体"/>
          <w:bCs/>
          <w:color w:val="000000"/>
          <w:sz w:val="24"/>
        </w:rPr>
        <w:t>月</w:t>
      </w:r>
      <w:r>
        <w:rPr>
          <w:rFonts w:ascii="宋体" w:hAnsi="宋体"/>
          <w:bCs/>
          <w:color w:val="000000"/>
          <w:sz w:val="24"/>
          <w:u w:val="single"/>
        </w:rPr>
        <w:t xml:space="preserve">      </w:t>
      </w:r>
      <w:r>
        <w:rPr>
          <w:rFonts w:hint="eastAsia" w:ascii="宋体" w:hAnsi="宋体"/>
          <w:bCs/>
          <w:color w:val="000000"/>
          <w:sz w:val="24"/>
        </w:rPr>
        <w:t>日签字之日起生效，特此声明。</w:t>
      </w:r>
    </w:p>
    <w:p>
      <w:pPr>
        <w:kinsoku w:val="0"/>
        <w:overflowPunct w:val="0"/>
        <w:snapToGrid w:val="0"/>
        <w:spacing w:line="520" w:lineRule="exact"/>
        <w:ind w:firstLine="480" w:firstLineChars="200"/>
        <w:jc w:val="left"/>
        <w:rPr>
          <w:rFonts w:ascii="宋体" w:hAnsi="宋体" w:cs="宋体"/>
          <w:color w:val="000000"/>
          <w:sz w:val="24"/>
          <w:szCs w:val="32"/>
        </w:rPr>
      </w:pPr>
      <w:r>
        <w:rPr>
          <w:rFonts w:hint="eastAsia" w:ascii="宋体" w:hAnsi="宋体" w:cs="宋体"/>
          <w:color w:val="000000"/>
          <w:sz w:val="24"/>
          <w:szCs w:val="32"/>
        </w:rPr>
        <w:t>代理人无转委托权，特此委托。</w:t>
      </w:r>
    </w:p>
    <w:p>
      <w:pPr>
        <w:kinsoku w:val="0"/>
        <w:overflowPunct w:val="0"/>
        <w:snapToGrid w:val="0"/>
        <w:spacing w:line="520" w:lineRule="exact"/>
        <w:ind w:firstLine="480" w:firstLineChars="200"/>
        <w:jc w:val="left"/>
        <w:rPr>
          <w:rFonts w:ascii="宋体" w:hAnsi="宋体" w:cs="宋体"/>
          <w:color w:val="000000"/>
          <w:sz w:val="24"/>
          <w:szCs w:val="32"/>
        </w:rPr>
      </w:pPr>
    </w:p>
    <w:p>
      <w:pPr>
        <w:pStyle w:val="16"/>
        <w:keepNext w:val="0"/>
        <w:keepLines w:val="0"/>
        <w:kinsoku w:val="0"/>
        <w:overflowPunct w:val="0"/>
        <w:snapToGrid w:val="0"/>
        <w:spacing w:before="0" w:after="156" w:afterLines="50" w:line="520" w:lineRule="atLeast"/>
        <w:jc w:val="both"/>
        <w:rPr>
          <w:rFonts w:eastAsia="宋体" w:cs="宋体"/>
          <w:b w:val="0"/>
          <w:bCs/>
          <w:color w:val="000000"/>
          <w:sz w:val="24"/>
          <w:szCs w:val="24"/>
        </w:rPr>
      </w:pPr>
      <w:r>
        <w:rPr>
          <w:rFonts w:hint="eastAsia" w:eastAsia="宋体" w:cs="宋体"/>
          <w:b w:val="0"/>
          <w:bCs/>
          <w:color w:val="000000"/>
          <w:sz w:val="24"/>
          <w:szCs w:val="24"/>
        </w:rPr>
        <w:t>附：授权代理人身份证正反面复印件</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6"/>
        <w:gridCol w:w="4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color w:val="000000"/>
                <w:sz w:val="24"/>
                <w:szCs w:val="24"/>
              </w:rPr>
            </w:pPr>
            <w:r>
              <w:rPr>
                <w:rFonts w:hint="eastAsia" w:ascii="宋体" w:hAnsi="宋体"/>
                <w:color w:val="000000"/>
                <w:sz w:val="24"/>
                <w:szCs w:val="24"/>
              </w:rPr>
              <w:t>身份证复印件</w:t>
            </w:r>
          </w:p>
        </w:tc>
        <w:tc>
          <w:tcPr>
            <w:tcW w:w="2500" w:type="pct"/>
          </w:tcPr>
          <w:p>
            <w:pPr>
              <w:spacing w:line="440" w:lineRule="exact"/>
              <w:rPr>
                <w:rFonts w:ascii="宋体" w:hAnsi="宋体"/>
                <w:color w:val="000000"/>
                <w:sz w:val="24"/>
                <w:szCs w:val="24"/>
              </w:rPr>
            </w:pPr>
          </w:p>
        </w:tc>
      </w:tr>
    </w:tbl>
    <w:p>
      <w:pPr>
        <w:spacing w:line="440" w:lineRule="exact"/>
        <w:ind w:firstLine="420"/>
        <w:rPr>
          <w:rFonts w:ascii="宋体" w:hAnsi="宋体"/>
          <w:color w:val="000000"/>
          <w:szCs w:val="21"/>
        </w:rPr>
      </w:pPr>
    </w:p>
    <w:p>
      <w:pPr>
        <w:kinsoku w:val="0"/>
        <w:overflowPunct w:val="0"/>
        <w:snapToGrid w:val="0"/>
        <w:spacing w:line="520" w:lineRule="exact"/>
        <w:ind w:firstLine="3600" w:firstLineChars="1500"/>
        <w:jc w:val="left"/>
        <w:rPr>
          <w:rFonts w:ascii="宋体" w:hAnsi="宋体"/>
          <w:bCs/>
          <w:color w:val="000000"/>
          <w:sz w:val="24"/>
        </w:rPr>
      </w:pPr>
      <w:r>
        <w:rPr>
          <w:rFonts w:hint="eastAsia" w:ascii="宋体" w:hAnsi="宋体"/>
          <w:bCs/>
          <w:color w:val="000000"/>
          <w:sz w:val="24"/>
        </w:rPr>
        <w:t>报价单位（公章）：</w:t>
      </w:r>
      <w:r>
        <w:rPr>
          <w:rFonts w:ascii="宋体" w:hAnsi="宋体"/>
          <w:bCs/>
          <w:color w:val="000000"/>
          <w:sz w:val="24"/>
          <w:u w:val="single"/>
        </w:rPr>
        <w:t xml:space="preserve">                </w:t>
      </w:r>
      <w:r>
        <w:rPr>
          <w:rFonts w:hint="eastAsia" w:ascii="宋体" w:hAnsi="宋体"/>
          <w:bCs/>
          <w:color w:val="000000"/>
          <w:sz w:val="24"/>
          <w:u w:val="single"/>
        </w:rPr>
        <w:t xml:space="preserve">       </w:t>
      </w:r>
      <w:r>
        <w:rPr>
          <w:rFonts w:ascii="宋体" w:hAnsi="宋体"/>
          <w:bCs/>
          <w:color w:val="000000"/>
          <w:sz w:val="24"/>
          <w:u w:val="single"/>
        </w:rPr>
        <w:t xml:space="preserve">    </w:t>
      </w:r>
    </w:p>
    <w:p>
      <w:pPr>
        <w:kinsoku w:val="0"/>
        <w:overflowPunct w:val="0"/>
        <w:snapToGrid w:val="0"/>
        <w:spacing w:line="520" w:lineRule="exact"/>
        <w:ind w:firstLine="3600" w:firstLineChars="1500"/>
        <w:jc w:val="left"/>
        <w:rPr>
          <w:rFonts w:ascii="宋体" w:hAnsi="宋体"/>
          <w:bCs/>
          <w:color w:val="000000"/>
          <w:sz w:val="24"/>
          <w:u w:val="single"/>
        </w:rPr>
      </w:pPr>
      <w:r>
        <w:rPr>
          <w:rFonts w:hint="eastAsia" w:ascii="宋体" w:hAnsi="宋体"/>
          <w:bCs/>
          <w:color w:val="000000"/>
          <w:sz w:val="24"/>
        </w:rPr>
        <w:t>授权代理人签字：</w:t>
      </w:r>
      <w:r>
        <w:rPr>
          <w:rFonts w:ascii="宋体" w:hAnsi="宋体"/>
          <w:bCs/>
          <w:color w:val="000000"/>
          <w:sz w:val="24"/>
          <w:u w:val="single"/>
        </w:rPr>
        <w:t xml:space="preserve">                 </w:t>
      </w:r>
      <w:r>
        <w:rPr>
          <w:rFonts w:hint="eastAsia" w:ascii="宋体" w:hAnsi="宋体"/>
          <w:bCs/>
          <w:color w:val="000000"/>
          <w:sz w:val="24"/>
          <w:u w:val="single"/>
        </w:rPr>
        <w:t xml:space="preserve">            </w:t>
      </w:r>
    </w:p>
    <w:p>
      <w:pPr>
        <w:kinsoku w:val="0"/>
        <w:overflowPunct w:val="0"/>
        <w:spacing w:line="400" w:lineRule="atLeast"/>
        <w:rPr>
          <w:rFonts w:ascii="宋体" w:hAnsi="宋体" w:cs="宋体"/>
          <w:color w:val="000000"/>
          <w:spacing w:val="-4"/>
          <w:sz w:val="24"/>
          <w:szCs w:val="24"/>
        </w:rPr>
      </w:pPr>
    </w:p>
    <w:p>
      <w:pPr>
        <w:kinsoku w:val="0"/>
        <w:overflowPunct w:val="0"/>
        <w:spacing w:line="400" w:lineRule="atLeast"/>
        <w:rPr>
          <w:rFonts w:ascii="宋体" w:hAnsi="宋体" w:cs="宋体"/>
          <w:color w:val="000000"/>
          <w:spacing w:val="-4"/>
          <w:sz w:val="24"/>
          <w:szCs w:val="24"/>
        </w:rPr>
      </w:pPr>
    </w:p>
    <w:p>
      <w:pPr>
        <w:kinsoku w:val="0"/>
        <w:overflowPunct w:val="0"/>
        <w:spacing w:line="400" w:lineRule="atLeast"/>
        <w:rPr>
          <w:rFonts w:ascii="宋体" w:hAnsi="宋体" w:cs="宋体"/>
          <w:color w:val="000000"/>
          <w:spacing w:val="-4"/>
          <w:sz w:val="24"/>
          <w:szCs w:val="24"/>
        </w:rPr>
      </w:pPr>
    </w:p>
    <w:p>
      <w:pPr>
        <w:kinsoku w:val="0"/>
        <w:overflowPunct w:val="0"/>
        <w:spacing w:line="400" w:lineRule="atLeast"/>
        <w:rPr>
          <w:rFonts w:ascii="宋体" w:hAnsi="宋体" w:cs="宋体"/>
          <w:color w:val="000000"/>
          <w:spacing w:val="-4"/>
          <w:sz w:val="24"/>
          <w:szCs w:val="24"/>
        </w:rPr>
      </w:pPr>
    </w:p>
    <w:p>
      <w:pPr>
        <w:kinsoku w:val="0"/>
        <w:overflowPunct w:val="0"/>
        <w:spacing w:line="400" w:lineRule="atLeast"/>
        <w:rPr>
          <w:rFonts w:ascii="宋体" w:hAnsi="宋体" w:cs="宋体"/>
          <w:color w:val="000000"/>
          <w:spacing w:val="-4"/>
          <w:sz w:val="24"/>
          <w:szCs w:val="24"/>
        </w:rPr>
      </w:pPr>
    </w:p>
    <w:p>
      <w:pPr>
        <w:pStyle w:val="16"/>
        <w:keepNext w:val="0"/>
        <w:keepLines w:val="0"/>
        <w:kinsoku w:val="0"/>
        <w:overflowPunct w:val="0"/>
        <w:snapToGrid w:val="0"/>
        <w:spacing w:before="0" w:after="0" w:line="440" w:lineRule="exact"/>
        <w:jc w:val="both"/>
        <w:rPr>
          <w:rFonts w:eastAsia="宋体" w:cs="宋体"/>
          <w:b w:val="0"/>
          <w:bCs/>
          <w:color w:val="000000"/>
          <w:sz w:val="24"/>
          <w:szCs w:val="24"/>
        </w:rPr>
      </w:pPr>
      <w:r>
        <w:rPr>
          <w:rFonts w:hint="eastAsia" w:eastAsia="宋体" w:cs="宋体"/>
          <w:b w:val="0"/>
          <w:bCs/>
          <w:color w:val="000000"/>
          <w:sz w:val="24"/>
          <w:szCs w:val="24"/>
        </w:rPr>
        <w:t>备注：1、报价方为企业法定代表人，则本附件不需要提供。</w:t>
      </w:r>
    </w:p>
    <w:p>
      <w:pPr>
        <w:pStyle w:val="16"/>
        <w:keepNext w:val="0"/>
        <w:keepLines w:val="0"/>
        <w:numPr>
          <w:ilvl w:val="0"/>
          <w:numId w:val="55"/>
        </w:numPr>
        <w:kinsoku w:val="0"/>
        <w:overflowPunct w:val="0"/>
        <w:snapToGrid w:val="0"/>
        <w:spacing w:before="0" w:after="0" w:line="440" w:lineRule="exact"/>
        <w:jc w:val="both"/>
        <w:rPr>
          <w:rFonts w:eastAsia="宋体" w:cs="宋体"/>
          <w:b w:val="0"/>
          <w:bCs/>
          <w:color w:val="000000"/>
          <w:sz w:val="24"/>
          <w:szCs w:val="24"/>
        </w:rPr>
      </w:pPr>
      <w:r>
        <w:rPr>
          <w:rFonts w:hint="eastAsia" w:eastAsia="宋体" w:cs="宋体"/>
          <w:b w:val="0"/>
          <w:bCs/>
          <w:color w:val="000000"/>
          <w:sz w:val="24"/>
          <w:szCs w:val="24"/>
        </w:rPr>
        <w:t>授权代理人身份证正反面复印件可单独一页，但需加盖企业公章。</w:t>
      </w:r>
    </w:p>
    <w:p>
      <w:pPr>
        <w:adjustRightInd w:val="0"/>
        <w:snapToGrid w:val="0"/>
        <w:spacing w:line="400" w:lineRule="atLeast"/>
        <w:jc w:val="center"/>
        <w:rPr>
          <w:rFonts w:asciiTheme="minorEastAsia" w:hAnsiTheme="minorEastAsia" w:cstheme="minorEastAsia"/>
          <w:b/>
          <w:bCs/>
          <w:sz w:val="24"/>
          <w:szCs w:val="24"/>
        </w:rPr>
      </w:pPr>
    </w:p>
    <w:p>
      <w:pPr>
        <w:adjustRightInd w:val="0"/>
        <w:snapToGrid w:val="0"/>
        <w:spacing w:line="400" w:lineRule="atLeast"/>
        <w:jc w:val="center"/>
        <w:rPr>
          <w:rFonts w:asciiTheme="minorEastAsia" w:hAnsiTheme="minorEastAsia" w:cstheme="minorEastAsia"/>
          <w:b/>
          <w:bCs/>
          <w:sz w:val="24"/>
          <w:szCs w:val="24"/>
        </w:rPr>
      </w:pPr>
    </w:p>
    <w:p>
      <w:pPr>
        <w:adjustRightInd w:val="0"/>
        <w:snapToGrid w:val="0"/>
        <w:spacing w:line="400" w:lineRule="atLeast"/>
        <w:jc w:val="center"/>
        <w:rPr>
          <w:rFonts w:asciiTheme="minorEastAsia" w:hAnsiTheme="minorEastAsia" w:cstheme="minorEastAsia"/>
          <w:b/>
          <w:bCs/>
          <w:sz w:val="24"/>
          <w:szCs w:val="24"/>
        </w:rPr>
      </w:pPr>
    </w:p>
    <w:p>
      <w:pPr>
        <w:pStyle w:val="16"/>
        <w:keepNext w:val="0"/>
        <w:keepLines w:val="0"/>
        <w:spacing w:before="0" w:after="0" w:line="440" w:lineRule="exact"/>
        <w:outlineLvl w:val="0"/>
        <w:rPr>
          <w:rFonts w:hint="eastAsia" w:eastAsia="宋体" w:cs="宋体"/>
          <w:b w:val="0"/>
          <w:bCs/>
          <w:sz w:val="28"/>
          <w:szCs w:val="28"/>
        </w:rPr>
      </w:pPr>
      <w:bookmarkStart w:id="204" w:name="_Toc27584"/>
      <w:r>
        <w:rPr>
          <w:rFonts w:hint="eastAsia" w:eastAsia="宋体" w:cs="宋体"/>
          <w:b w:val="0"/>
          <w:bCs/>
          <w:sz w:val="28"/>
          <w:szCs w:val="28"/>
        </w:rPr>
        <w:t>附件5 关于资格的声明函</w:t>
      </w:r>
      <w:bookmarkEnd w:id="204"/>
    </w:p>
    <w:p>
      <w:pPr>
        <w:pStyle w:val="16"/>
        <w:keepNext w:val="0"/>
        <w:keepLines w:val="0"/>
        <w:spacing w:before="0" w:after="0" w:line="440" w:lineRule="exact"/>
        <w:outlineLvl w:val="0"/>
        <w:rPr>
          <w:rFonts w:hint="eastAsia" w:eastAsia="宋体" w:cs="宋体"/>
          <w:b w:val="0"/>
          <w:bCs/>
          <w:sz w:val="28"/>
          <w:szCs w:val="28"/>
        </w:rPr>
      </w:pPr>
    </w:p>
    <w:p>
      <w:pPr>
        <w:kinsoku w:val="0"/>
        <w:overflowPunct w:val="0"/>
        <w:adjustRightInd/>
        <w:spacing w:line="440" w:lineRule="exact"/>
        <w:jc w:val="left"/>
        <w:rPr>
          <w:rFonts w:hint="eastAsia" w:ascii="宋体" w:hAnsi="宋体" w:cs="宋体"/>
          <w:spacing w:val="-4"/>
          <w:sz w:val="24"/>
          <w:szCs w:val="24"/>
        </w:rPr>
      </w:pPr>
      <w:r>
        <w:rPr>
          <w:rFonts w:hint="eastAsia" w:ascii="宋体" w:hAnsi="宋体" w:cs="宋体"/>
          <w:spacing w:val="-4"/>
          <w:sz w:val="24"/>
          <w:szCs w:val="24"/>
        </w:rPr>
        <w:t>致：厦门海发环保能源股份有限公司</w:t>
      </w:r>
    </w:p>
    <w:p>
      <w:pPr>
        <w:kinsoku w:val="0"/>
        <w:overflowPunct w:val="0"/>
        <w:adjustRightInd/>
        <w:spacing w:line="440" w:lineRule="exact"/>
        <w:ind w:firstLine="720" w:firstLineChars="300"/>
        <w:rPr>
          <w:rFonts w:hint="eastAsia"/>
          <w:sz w:val="24"/>
          <w:szCs w:val="24"/>
        </w:rPr>
      </w:pPr>
      <w:r>
        <w:rPr>
          <w:rFonts w:hint="eastAsia"/>
          <w:sz w:val="24"/>
          <w:szCs w:val="24"/>
        </w:rPr>
        <w:t>关于贵司</w:t>
      </w:r>
      <w:r>
        <w:rPr>
          <w:rFonts w:hint="eastAsia" w:ascii="宋体" w:hAnsi="宋体" w:cs="宋体"/>
          <w:kern w:val="2"/>
          <w:sz w:val="24"/>
          <w:szCs w:val="24"/>
          <w:u w:val="single"/>
        </w:rPr>
        <w:t xml:space="preserve"> </w:t>
      </w:r>
      <w:r>
        <w:rPr>
          <w:rFonts w:hint="eastAsia" w:ascii="宋体" w:hAnsi="宋体" w:cs="宋体"/>
          <w:kern w:val="2"/>
          <w:sz w:val="24"/>
          <w:szCs w:val="24"/>
          <w:u w:val="single"/>
          <w:lang w:val="en-US" w:eastAsia="zh-CN"/>
        </w:rPr>
        <w:t>电动闸阀备件采购</w:t>
      </w:r>
      <w:r>
        <w:rPr>
          <w:rFonts w:hint="eastAsia" w:ascii="宋体" w:hAnsi="宋体" w:cs="宋体"/>
          <w:kern w:val="2"/>
          <w:sz w:val="24"/>
          <w:szCs w:val="24"/>
          <w:u w:val="single"/>
        </w:rPr>
        <w:t xml:space="preserve"> </w:t>
      </w:r>
      <w:r>
        <w:rPr>
          <w:rFonts w:hint="eastAsia"/>
          <w:sz w:val="24"/>
          <w:szCs w:val="24"/>
        </w:rPr>
        <w:t>项目的</w:t>
      </w:r>
      <w:r>
        <w:rPr>
          <w:rFonts w:hint="eastAsia"/>
          <w:sz w:val="24"/>
          <w:szCs w:val="24"/>
          <w:lang w:val="en-US" w:eastAsia="zh-CN"/>
        </w:rPr>
        <w:t>询价</w:t>
      </w:r>
      <w:r>
        <w:rPr>
          <w:rFonts w:hint="eastAsia"/>
          <w:sz w:val="24"/>
          <w:szCs w:val="24"/>
        </w:rPr>
        <w:t>邀请，本签字人愿意参加报价，提供采购文件中规定的</w:t>
      </w:r>
      <w:r>
        <w:rPr>
          <w:rFonts w:hint="eastAsia"/>
          <w:sz w:val="24"/>
          <w:szCs w:val="24"/>
          <w:lang w:val="en-US" w:eastAsia="zh-CN"/>
        </w:rPr>
        <w:t>供货服</w:t>
      </w:r>
      <w:r>
        <w:rPr>
          <w:rFonts w:hint="eastAsia"/>
          <w:sz w:val="24"/>
          <w:szCs w:val="24"/>
        </w:rPr>
        <w:t>务，并证明提交的下列文件和说明是准确的和真实的。</w:t>
      </w:r>
    </w:p>
    <w:p>
      <w:pPr>
        <w:pStyle w:val="10"/>
        <w:numPr>
          <w:ilvl w:val="0"/>
          <w:numId w:val="56"/>
        </w:numPr>
        <w:shd w:val="clear" w:color="auto" w:fill="FFFFFF"/>
        <w:kinsoku w:val="0"/>
        <w:overflowPunct w:val="0"/>
        <w:autoSpaceDE/>
        <w:autoSpaceDN/>
        <w:snapToGrid w:val="0"/>
        <w:spacing w:before="0" w:beforeAutospacing="0" w:after="0" w:afterAutospacing="0" w:line="440" w:lineRule="exact"/>
        <w:ind w:firstLine="720" w:firstLineChars="300"/>
        <w:textAlignment w:val="auto"/>
        <w:rPr>
          <w:rFonts w:hint="eastAsia" w:ascii="宋体" w:hAnsi="宋体" w:cs="宋体"/>
          <w:szCs w:val="24"/>
        </w:rPr>
      </w:pPr>
      <w:r>
        <w:rPr>
          <w:rFonts w:hint="eastAsia" w:ascii="宋体" w:hAnsi="宋体" w:cs="宋体"/>
          <w:szCs w:val="24"/>
          <w:shd w:val="clear" w:color="auto" w:fill="FFFFFF"/>
        </w:rPr>
        <w:t>响应采购、参加报价的系中华人民共和国境内的企业法人，且具有独立订立合同的权力。</w:t>
      </w:r>
    </w:p>
    <w:p>
      <w:pPr>
        <w:pStyle w:val="10"/>
        <w:numPr>
          <w:ilvl w:val="0"/>
          <w:numId w:val="56"/>
        </w:numPr>
        <w:shd w:val="clear" w:color="auto" w:fill="FFFFFF"/>
        <w:kinsoku w:val="0"/>
        <w:overflowPunct w:val="0"/>
        <w:autoSpaceDE/>
        <w:autoSpaceDN/>
        <w:snapToGrid w:val="0"/>
        <w:spacing w:before="0" w:beforeAutospacing="0" w:after="0" w:afterAutospacing="0" w:line="440" w:lineRule="exact"/>
        <w:ind w:firstLine="720" w:firstLineChars="300"/>
        <w:textAlignment w:val="auto"/>
        <w:rPr>
          <w:rFonts w:hint="eastAsia" w:ascii="宋体" w:hAnsi="宋体"/>
          <w:szCs w:val="24"/>
        </w:rPr>
      </w:pPr>
      <w:r>
        <w:rPr>
          <w:rFonts w:hint="eastAsia" w:ascii="宋体" w:hAnsi="宋体"/>
          <w:szCs w:val="24"/>
        </w:rPr>
        <w:t>财务要求：具有良好的银行资信和商业信誉，没有处于被责令停业或破产状态，且资产未被重组、接管和冻结。</w:t>
      </w:r>
    </w:p>
    <w:p>
      <w:pPr>
        <w:pStyle w:val="10"/>
        <w:numPr>
          <w:ilvl w:val="0"/>
          <w:numId w:val="56"/>
        </w:numPr>
        <w:shd w:val="clear" w:color="auto" w:fill="FFFFFF"/>
        <w:kinsoku w:val="0"/>
        <w:overflowPunct w:val="0"/>
        <w:autoSpaceDE/>
        <w:autoSpaceDN/>
        <w:snapToGrid w:val="0"/>
        <w:spacing w:before="0" w:beforeAutospacing="0" w:after="0" w:afterAutospacing="0" w:line="440" w:lineRule="exact"/>
        <w:ind w:firstLine="720" w:firstLineChars="300"/>
        <w:textAlignment w:val="auto"/>
        <w:rPr>
          <w:rFonts w:hint="eastAsia" w:ascii="宋体" w:hAnsi="宋体"/>
          <w:szCs w:val="24"/>
        </w:rPr>
      </w:pPr>
      <w:r>
        <w:rPr>
          <w:rFonts w:hint="eastAsia" w:ascii="宋体" w:hAnsi="宋体"/>
          <w:szCs w:val="24"/>
        </w:rPr>
        <w:t>信誉要求：报价方没有被国家、福建省省级有关部门及厦门市有关部门暂停招报价或市场准入资格且在公示处罚期内。</w:t>
      </w:r>
    </w:p>
    <w:p>
      <w:pPr>
        <w:kinsoku w:val="0"/>
        <w:overflowPunct w:val="0"/>
        <w:adjustRightInd/>
        <w:spacing w:line="440" w:lineRule="exact"/>
        <w:rPr>
          <w:rFonts w:hint="eastAsia" w:hAnsi="宋体"/>
          <w:b/>
          <w:sz w:val="24"/>
          <w:szCs w:val="24"/>
        </w:rPr>
      </w:pPr>
    </w:p>
    <w:p>
      <w:pPr>
        <w:kinsoku w:val="0"/>
        <w:overflowPunct w:val="0"/>
        <w:adjustRightInd/>
        <w:spacing w:line="440" w:lineRule="exact"/>
        <w:rPr>
          <w:rFonts w:hint="eastAsia" w:ascii="宋体" w:hAnsi="宋体" w:cs="宋体"/>
          <w:sz w:val="24"/>
          <w:szCs w:val="24"/>
        </w:rPr>
      </w:pPr>
      <w:r>
        <w:rPr>
          <w:rFonts w:hint="eastAsia" w:ascii="宋体" w:hAnsi="宋体" w:cs="宋体"/>
          <w:b/>
          <w:sz w:val="24"/>
          <w:szCs w:val="24"/>
        </w:rPr>
        <w:t>注：第</w:t>
      </w:r>
      <w:r>
        <w:rPr>
          <w:rFonts w:hint="eastAsia" w:ascii="宋体" w:hAnsi="宋体" w:cs="宋体"/>
          <w:sz w:val="24"/>
          <w:szCs w:val="24"/>
          <w:lang w:val="en-US" w:eastAsia="zh-CN"/>
        </w:rPr>
        <w:t>2</w:t>
      </w: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b/>
          <w:sz w:val="24"/>
          <w:szCs w:val="24"/>
        </w:rPr>
        <w:t>项无需提供证明文件，但若采购方发现报价方违反该条款，采购方有权拒绝其报价及后续的相应事宜。对</w:t>
      </w:r>
      <w:r>
        <w:rPr>
          <w:rFonts w:hint="eastAsia" w:ascii="宋体" w:hAnsi="宋体" w:cs="宋体"/>
          <w:b/>
          <w:sz w:val="24"/>
          <w:szCs w:val="24"/>
          <w:lang w:val="en-US" w:eastAsia="zh-CN"/>
        </w:rPr>
        <w:t>采购</w:t>
      </w:r>
      <w:r>
        <w:rPr>
          <w:rFonts w:hint="eastAsia" w:ascii="宋体" w:hAnsi="宋体" w:cs="宋体"/>
          <w:b/>
          <w:sz w:val="24"/>
          <w:szCs w:val="24"/>
        </w:rPr>
        <w:t>方造成的相应损失，则由该报价单位负责。</w:t>
      </w:r>
    </w:p>
    <w:p>
      <w:pPr>
        <w:kinsoku w:val="0"/>
        <w:overflowPunct w:val="0"/>
        <w:adjustRightInd/>
        <w:spacing w:line="440" w:lineRule="exact"/>
        <w:ind w:firstLine="4800" w:firstLineChars="2000"/>
        <w:rPr>
          <w:rFonts w:hint="eastAsia"/>
          <w:sz w:val="24"/>
          <w:szCs w:val="24"/>
        </w:rPr>
      </w:pPr>
    </w:p>
    <w:p>
      <w:pPr>
        <w:kinsoku w:val="0"/>
        <w:overflowPunct w:val="0"/>
        <w:adjustRightInd/>
        <w:spacing w:line="440" w:lineRule="exact"/>
        <w:ind w:firstLine="4800" w:firstLineChars="2000"/>
        <w:rPr>
          <w:rFonts w:hint="eastAsia"/>
          <w:sz w:val="24"/>
          <w:szCs w:val="24"/>
        </w:rPr>
      </w:pPr>
    </w:p>
    <w:p>
      <w:pPr>
        <w:kinsoku w:val="0"/>
        <w:overflowPunct w:val="0"/>
        <w:autoSpaceDE/>
        <w:autoSpaceDN/>
        <w:snapToGrid w:val="0"/>
        <w:spacing w:line="440" w:lineRule="exact"/>
        <w:ind w:firstLine="3600" w:firstLineChars="1500"/>
        <w:textAlignment w:val="auto"/>
        <w:rPr>
          <w:rFonts w:ascii="宋体" w:hAnsi="宋体" w:cs="宋体"/>
          <w:spacing w:val="-4"/>
          <w:sz w:val="24"/>
          <w:szCs w:val="24"/>
          <w:u w:val="single"/>
        </w:rPr>
      </w:pPr>
      <w:r>
        <w:rPr>
          <w:rFonts w:hint="eastAsia" w:ascii="宋体" w:hAnsi="宋体"/>
          <w:bCs/>
          <w:sz w:val="24"/>
          <w:szCs w:val="24"/>
        </w:rPr>
        <w:t>报价单位（盖公章）：</w:t>
      </w:r>
      <w:r>
        <w:rPr>
          <w:rFonts w:hint="eastAsia" w:ascii="宋体" w:hAnsi="宋体" w:cs="宋体"/>
          <w:spacing w:val="-4"/>
          <w:sz w:val="24"/>
          <w:szCs w:val="24"/>
          <w:u w:val="single"/>
        </w:rPr>
        <w:t xml:space="preserve">                            </w:t>
      </w:r>
    </w:p>
    <w:p>
      <w:pPr>
        <w:kinsoku w:val="0"/>
        <w:overflowPunct w:val="0"/>
        <w:autoSpaceDE/>
        <w:autoSpaceDN/>
        <w:snapToGrid w:val="0"/>
        <w:spacing w:line="440" w:lineRule="exact"/>
        <w:textAlignment w:val="auto"/>
        <w:rPr>
          <w:rFonts w:hint="eastAsia" w:ascii="宋体" w:hAnsi="宋体" w:cs="宋体"/>
          <w:spacing w:val="-4"/>
          <w:sz w:val="24"/>
          <w:szCs w:val="24"/>
          <w:u w:val="single"/>
        </w:rPr>
      </w:pPr>
      <w:r>
        <w:rPr>
          <w:rFonts w:hint="eastAsia" w:ascii="宋体" w:hAnsi="宋体" w:cs="宋体"/>
          <w:spacing w:val="-4"/>
          <w:sz w:val="24"/>
          <w:szCs w:val="24"/>
        </w:rPr>
        <w:t xml:space="preserve">                            法定代表人或授权代理人（签字或盖章）：</w:t>
      </w:r>
      <w:r>
        <w:rPr>
          <w:rFonts w:hint="eastAsia" w:ascii="宋体" w:hAnsi="宋体" w:cs="宋体"/>
          <w:spacing w:val="-4"/>
          <w:sz w:val="24"/>
          <w:szCs w:val="24"/>
          <w:u w:val="single"/>
        </w:rPr>
        <w:t xml:space="preserve">            </w:t>
      </w:r>
    </w:p>
    <w:p>
      <w:pPr>
        <w:kinsoku w:val="0"/>
        <w:overflowPunct w:val="0"/>
        <w:snapToGrid w:val="0"/>
        <w:spacing w:line="420" w:lineRule="exact"/>
        <w:jc w:val="left"/>
        <w:rPr>
          <w:rFonts w:hint="eastAsia" w:ascii="宋体" w:hAnsi="宋体"/>
        </w:rPr>
      </w:pPr>
      <w:r>
        <w:rPr>
          <w:rFonts w:hint="eastAsia" w:ascii="宋体" w:hAnsi="宋体"/>
        </w:rPr>
        <w:t xml:space="preserve"> </w:t>
      </w:r>
    </w:p>
    <w:p>
      <w:pPr>
        <w:adjustRightInd w:val="0"/>
        <w:snapToGrid w:val="0"/>
        <w:spacing w:line="400" w:lineRule="atLeast"/>
        <w:jc w:val="center"/>
        <w:rPr>
          <w:rFonts w:asciiTheme="minorEastAsia" w:hAnsiTheme="minorEastAsia" w:cstheme="minorEastAsia"/>
          <w:b/>
          <w:bCs/>
          <w:sz w:val="24"/>
          <w:szCs w:val="24"/>
        </w:rPr>
      </w:pPr>
    </w:p>
    <w:p>
      <w:pPr>
        <w:pStyle w:val="2"/>
        <w:rPr>
          <w:rFonts w:asciiTheme="minorEastAsia" w:hAnsiTheme="minorEastAsia" w:cstheme="minorEastAsia"/>
          <w:b/>
          <w:bCs/>
          <w:sz w:val="24"/>
          <w:szCs w:val="24"/>
        </w:rPr>
      </w:pPr>
    </w:p>
    <w:p>
      <w:pPr>
        <w:pStyle w:val="2"/>
        <w:rPr>
          <w:rFonts w:asciiTheme="minorEastAsia" w:hAnsiTheme="minorEastAsia" w:cstheme="minorEastAsia"/>
          <w:b/>
          <w:bCs/>
          <w:sz w:val="24"/>
          <w:szCs w:val="24"/>
        </w:rPr>
      </w:pPr>
    </w:p>
    <w:p>
      <w:pPr>
        <w:pStyle w:val="2"/>
        <w:rPr>
          <w:rFonts w:asciiTheme="minorEastAsia" w:hAnsiTheme="minorEastAsia" w:cstheme="minorEastAsia"/>
          <w:b/>
          <w:bCs/>
          <w:sz w:val="24"/>
          <w:szCs w:val="24"/>
        </w:rPr>
      </w:pPr>
    </w:p>
    <w:p>
      <w:pPr>
        <w:pStyle w:val="2"/>
        <w:rPr>
          <w:rFonts w:asciiTheme="minorEastAsia" w:hAnsiTheme="minorEastAsia" w:cstheme="minorEastAsia"/>
          <w:b/>
          <w:bCs/>
          <w:sz w:val="24"/>
          <w:szCs w:val="24"/>
        </w:rPr>
      </w:pPr>
    </w:p>
    <w:p>
      <w:pPr>
        <w:pStyle w:val="2"/>
        <w:rPr>
          <w:rFonts w:asciiTheme="minorEastAsia" w:hAnsiTheme="minorEastAsia" w:cstheme="minorEastAsia"/>
          <w:b/>
          <w:bCs/>
          <w:sz w:val="24"/>
          <w:szCs w:val="24"/>
        </w:rPr>
      </w:pPr>
    </w:p>
    <w:p>
      <w:pPr>
        <w:pStyle w:val="2"/>
        <w:rPr>
          <w:rFonts w:asciiTheme="minorEastAsia" w:hAnsiTheme="minorEastAsia" w:cstheme="minorEastAsia"/>
          <w:b/>
          <w:bCs/>
          <w:sz w:val="24"/>
          <w:szCs w:val="24"/>
        </w:rPr>
      </w:pPr>
    </w:p>
    <w:p>
      <w:pPr>
        <w:pStyle w:val="2"/>
        <w:rPr>
          <w:rFonts w:asciiTheme="minorEastAsia" w:hAnsiTheme="minorEastAsia" w:cstheme="minorEastAsia"/>
          <w:b/>
          <w:bCs/>
          <w:sz w:val="24"/>
          <w:szCs w:val="24"/>
        </w:rPr>
      </w:pPr>
    </w:p>
    <w:p>
      <w:pPr>
        <w:pStyle w:val="2"/>
        <w:rPr>
          <w:rFonts w:asciiTheme="minorEastAsia" w:hAnsiTheme="minorEastAsia" w:cstheme="minorEastAsia"/>
          <w:b/>
          <w:bCs/>
          <w:sz w:val="24"/>
          <w:szCs w:val="24"/>
        </w:rPr>
      </w:pPr>
    </w:p>
    <w:p>
      <w:pPr>
        <w:pStyle w:val="2"/>
        <w:rPr>
          <w:rFonts w:asciiTheme="minorEastAsia" w:hAnsiTheme="minorEastAsia" w:cstheme="minorEastAsia"/>
          <w:b/>
          <w:bCs/>
          <w:sz w:val="24"/>
          <w:szCs w:val="24"/>
        </w:rPr>
      </w:pPr>
    </w:p>
    <w:p>
      <w:pPr>
        <w:pStyle w:val="2"/>
        <w:rPr>
          <w:rFonts w:asciiTheme="minorEastAsia" w:hAnsiTheme="minorEastAsia" w:cstheme="minorEastAsia"/>
          <w:b/>
          <w:bCs/>
          <w:sz w:val="24"/>
          <w:szCs w:val="24"/>
        </w:rPr>
      </w:pPr>
    </w:p>
    <w:p>
      <w:pPr>
        <w:pStyle w:val="2"/>
        <w:rPr>
          <w:rFonts w:asciiTheme="minorEastAsia" w:hAnsiTheme="minorEastAsia" w:cstheme="minorEastAsia"/>
          <w:b/>
          <w:bCs/>
          <w:sz w:val="24"/>
          <w:szCs w:val="24"/>
        </w:rPr>
      </w:pPr>
    </w:p>
    <w:p>
      <w:pPr>
        <w:pStyle w:val="2"/>
        <w:rPr>
          <w:rFonts w:asciiTheme="minorEastAsia" w:hAnsiTheme="minorEastAsia" w:cstheme="minorEastAsia"/>
          <w:b/>
          <w:bCs/>
          <w:sz w:val="24"/>
          <w:szCs w:val="24"/>
        </w:rPr>
      </w:pPr>
    </w:p>
    <w:p>
      <w:pPr>
        <w:pStyle w:val="2"/>
        <w:rPr>
          <w:rFonts w:asciiTheme="minorEastAsia" w:hAnsiTheme="minorEastAsia" w:cstheme="minorEastAsia"/>
          <w:b/>
          <w:bCs/>
          <w:sz w:val="24"/>
          <w:szCs w:val="24"/>
        </w:rPr>
      </w:pPr>
    </w:p>
    <w:p>
      <w:pPr>
        <w:pStyle w:val="2"/>
        <w:rPr>
          <w:rFonts w:asciiTheme="minorEastAsia" w:hAnsiTheme="minorEastAsia" w:cstheme="minorEastAsia"/>
          <w:b/>
          <w:bCs/>
          <w:sz w:val="24"/>
          <w:szCs w:val="24"/>
        </w:rPr>
      </w:pPr>
    </w:p>
    <w:p>
      <w:pPr>
        <w:pStyle w:val="2"/>
        <w:rPr>
          <w:rFonts w:asciiTheme="minorEastAsia" w:hAnsiTheme="minorEastAsia" w:cstheme="minorEastAsia"/>
          <w:b/>
          <w:bCs/>
          <w:sz w:val="24"/>
          <w:szCs w:val="24"/>
        </w:rPr>
      </w:pPr>
    </w:p>
    <w:p>
      <w:pPr>
        <w:pStyle w:val="2"/>
        <w:rPr>
          <w:rFonts w:asciiTheme="minorEastAsia" w:hAnsiTheme="minorEastAsia" w:cstheme="minorEastAsia"/>
          <w:b/>
          <w:bCs/>
          <w:sz w:val="24"/>
          <w:szCs w:val="24"/>
        </w:rPr>
      </w:pPr>
    </w:p>
    <w:p>
      <w:pPr>
        <w:pStyle w:val="16"/>
        <w:keepNext w:val="0"/>
        <w:keepLines w:val="0"/>
        <w:kinsoku w:val="0"/>
        <w:overflowPunct w:val="0"/>
        <w:snapToGrid w:val="0"/>
        <w:spacing w:before="0" w:after="0" w:line="440" w:lineRule="atLeast"/>
        <w:outlineLvl w:val="0"/>
        <w:rPr>
          <w:rFonts w:hint="eastAsia" w:eastAsia="宋体" w:cs="宋体"/>
          <w:b w:val="0"/>
          <w:bCs/>
          <w:sz w:val="28"/>
          <w:szCs w:val="28"/>
        </w:rPr>
      </w:pPr>
      <w:bookmarkStart w:id="205" w:name="_Toc29011_WPSOffice_Level2"/>
      <w:bookmarkStart w:id="206" w:name="_Toc7642_WPSOffice_Level2"/>
      <w:bookmarkStart w:id="207" w:name="_Toc6643_WPSOffice_Level2"/>
      <w:bookmarkStart w:id="208" w:name="_Toc13674_WPSOffice_Level2"/>
      <w:bookmarkStart w:id="209" w:name="_Toc3242_WPSOffice_Level1"/>
      <w:bookmarkStart w:id="210" w:name="_Toc28212"/>
      <w:r>
        <w:rPr>
          <w:rFonts w:hint="eastAsia" w:eastAsia="宋体" w:cs="宋体"/>
          <w:b w:val="0"/>
          <w:bCs/>
          <w:sz w:val="28"/>
          <w:szCs w:val="28"/>
        </w:rPr>
        <w:t>附件6 报价方廉洁承诺书</w:t>
      </w:r>
      <w:bookmarkEnd w:id="205"/>
      <w:bookmarkEnd w:id="206"/>
      <w:bookmarkEnd w:id="207"/>
      <w:bookmarkEnd w:id="208"/>
      <w:bookmarkEnd w:id="209"/>
      <w:bookmarkEnd w:id="210"/>
    </w:p>
    <w:p>
      <w:pPr>
        <w:pStyle w:val="16"/>
        <w:keepNext w:val="0"/>
        <w:keepLines w:val="0"/>
        <w:kinsoku w:val="0"/>
        <w:overflowPunct w:val="0"/>
        <w:snapToGrid w:val="0"/>
        <w:spacing w:before="0" w:after="0" w:line="440" w:lineRule="atLeast"/>
        <w:outlineLvl w:val="0"/>
        <w:rPr>
          <w:rFonts w:hint="eastAsia" w:eastAsia="宋体" w:cs="宋体"/>
          <w:b w:val="0"/>
          <w:bCs/>
          <w:sz w:val="28"/>
          <w:szCs w:val="28"/>
        </w:rPr>
      </w:pPr>
    </w:p>
    <w:p>
      <w:pPr>
        <w:kinsoku w:val="0"/>
        <w:overflowPunct w:val="0"/>
        <w:snapToGrid w:val="0"/>
        <w:spacing w:line="460" w:lineRule="atLeast"/>
        <w:ind w:firstLine="480" w:firstLineChars="200"/>
        <w:jc w:val="left"/>
        <w:rPr>
          <w:rFonts w:ascii="宋体" w:hAnsi="宋体"/>
          <w:sz w:val="24"/>
          <w:szCs w:val="36"/>
        </w:rPr>
      </w:pPr>
      <w:r>
        <w:rPr>
          <w:rFonts w:hint="eastAsia" w:ascii="宋体" w:hAnsi="宋体"/>
          <w:sz w:val="24"/>
          <w:szCs w:val="36"/>
        </w:rPr>
        <w:t>为促进廉洁自律有关规定的落实，打击贿赂、以权谋私等违法犯罪行为，保证各项经营活动健康有序开展，维护员工职业操守，提高合作效率，本单位在与厦门海发环保能源股份有限公司（以下简称“采购方”）开展报价、报价业务活动中承诺：</w:t>
      </w:r>
      <w:r>
        <w:rPr>
          <w:rFonts w:ascii="宋体" w:hAnsi="宋体"/>
          <w:sz w:val="24"/>
          <w:szCs w:val="36"/>
        </w:rPr>
        <w:t xml:space="preserve"> </w:t>
      </w:r>
    </w:p>
    <w:p>
      <w:pPr>
        <w:numPr>
          <w:ilvl w:val="0"/>
          <w:numId w:val="57"/>
        </w:numPr>
        <w:kinsoku w:val="0"/>
        <w:overflowPunct w:val="0"/>
        <w:snapToGrid w:val="0"/>
        <w:spacing w:line="460" w:lineRule="atLeast"/>
        <w:jc w:val="left"/>
        <w:rPr>
          <w:rFonts w:ascii="宋体" w:hAnsi="宋体"/>
          <w:sz w:val="24"/>
          <w:szCs w:val="36"/>
        </w:rPr>
      </w:pPr>
      <w:r>
        <w:rPr>
          <w:rFonts w:hint="eastAsia" w:ascii="宋体" w:hAnsi="宋体"/>
          <w:sz w:val="24"/>
          <w:szCs w:val="36"/>
        </w:rPr>
        <w:t>自觉遵守国家法律、法规，按照《中国共产党纪律处分条例》、《中华人民共和国反不正当竞争法》、《关于禁止商业贿赂行为的暂行规定》以及有关要求进行各项业务活动。</w:t>
      </w:r>
    </w:p>
    <w:p>
      <w:pPr>
        <w:numPr>
          <w:ilvl w:val="0"/>
          <w:numId w:val="57"/>
        </w:numPr>
        <w:kinsoku w:val="0"/>
        <w:overflowPunct w:val="0"/>
        <w:snapToGrid w:val="0"/>
        <w:spacing w:line="460" w:lineRule="atLeast"/>
        <w:jc w:val="left"/>
        <w:rPr>
          <w:rFonts w:ascii="宋体" w:hAnsi="宋体"/>
          <w:sz w:val="24"/>
          <w:szCs w:val="36"/>
        </w:rPr>
      </w:pPr>
      <w:r>
        <w:rPr>
          <w:rFonts w:hint="eastAsia" w:ascii="宋体" w:hAnsi="宋体"/>
          <w:sz w:val="24"/>
          <w:szCs w:val="36"/>
        </w:rPr>
        <w:t>不向采购方的工作人员及其亲属馈赠礼金、礼品（含有价证券）；不向采购方的工作人员提供任何应由其个人支付报酬的劳务和其它服务；不为采购方的工作人员安排可能影响公正执行公务的任何活动（如：旅游、消费宴请、娱乐等）；不为采购方的工作人员支付应由其个人支付的任何赞助费、宣传费、咨询费、劳务费等；不为采购方的工作人员报销任何名义的个人消费凭证；不为采购方的工作人员安排违反社会公德的活动；不为采购方的工作人员提供经商、办企业、消费提供特殊便利或优惠等。</w:t>
      </w:r>
    </w:p>
    <w:p>
      <w:pPr>
        <w:numPr>
          <w:ilvl w:val="0"/>
          <w:numId w:val="57"/>
        </w:numPr>
        <w:kinsoku w:val="0"/>
        <w:overflowPunct w:val="0"/>
        <w:snapToGrid w:val="0"/>
        <w:spacing w:line="460" w:lineRule="atLeast"/>
        <w:jc w:val="left"/>
        <w:rPr>
          <w:rFonts w:ascii="宋体" w:hAnsi="宋体"/>
          <w:sz w:val="24"/>
          <w:szCs w:val="36"/>
        </w:rPr>
      </w:pPr>
      <w:r>
        <w:rPr>
          <w:rFonts w:hint="eastAsia" w:ascii="宋体" w:hAnsi="宋体"/>
          <w:sz w:val="24"/>
          <w:szCs w:val="36"/>
        </w:rPr>
        <w:t>不与其他经营者串通报价和报价，不排挤其他经营者的公平竞争，损害其他经营者的合法权益；不在工程建设的预决算编制工作中弄虚作假、高估冒算。</w:t>
      </w:r>
    </w:p>
    <w:p>
      <w:pPr>
        <w:numPr>
          <w:ilvl w:val="0"/>
          <w:numId w:val="57"/>
        </w:numPr>
        <w:kinsoku w:val="0"/>
        <w:overflowPunct w:val="0"/>
        <w:snapToGrid w:val="0"/>
        <w:spacing w:line="460" w:lineRule="atLeast"/>
        <w:jc w:val="left"/>
        <w:rPr>
          <w:rFonts w:hint="eastAsia" w:ascii="宋体" w:hAnsi="宋体" w:cs="宋体"/>
          <w:sz w:val="24"/>
          <w:szCs w:val="24"/>
        </w:rPr>
      </w:pPr>
      <w:r>
        <w:rPr>
          <w:rFonts w:hint="eastAsia" w:ascii="宋体" w:hAnsi="宋体" w:cs="宋体"/>
          <w:sz w:val="24"/>
          <w:szCs w:val="24"/>
        </w:rPr>
        <w:t>发现采购方工作人员违反廉洁从业行为的，报价方可向厦门海发集团有限公司纪检监察部门反映或举报。若采购方工作人员违反本协议将按有关法律和规定严肃处理。</w:t>
      </w:r>
    </w:p>
    <w:p>
      <w:pPr>
        <w:numPr>
          <w:ilvl w:val="0"/>
          <w:numId w:val="57"/>
        </w:numPr>
        <w:kinsoku w:val="0"/>
        <w:overflowPunct w:val="0"/>
        <w:snapToGrid w:val="0"/>
        <w:spacing w:line="460" w:lineRule="atLeast"/>
        <w:jc w:val="left"/>
        <w:rPr>
          <w:rFonts w:hint="eastAsia" w:ascii="宋体" w:hAnsi="宋体"/>
          <w:sz w:val="24"/>
          <w:szCs w:val="36"/>
        </w:rPr>
      </w:pPr>
      <w:r>
        <w:rPr>
          <w:rFonts w:hint="eastAsia" w:ascii="宋体" w:hAnsi="宋体" w:cs="宋体"/>
          <w:sz w:val="24"/>
          <w:szCs w:val="24"/>
        </w:rPr>
        <w:t xml:space="preserve">报价方及其工作人员违反本协议规定行为的，3年内不得参加厦门海发环保能源股份有限公司建设项目、物资采购报价活动，情节严重的按有关规定追究责任。  </w:t>
      </w:r>
    </w:p>
    <w:p>
      <w:pPr>
        <w:kinsoku w:val="0"/>
        <w:overflowPunct w:val="0"/>
        <w:snapToGrid w:val="0"/>
        <w:spacing w:line="460" w:lineRule="atLeast"/>
        <w:ind w:firstLine="480" w:firstLineChars="200"/>
        <w:jc w:val="left"/>
        <w:rPr>
          <w:rFonts w:hint="eastAsia" w:ascii="宋体" w:hAnsi="宋体"/>
          <w:sz w:val="24"/>
          <w:szCs w:val="36"/>
        </w:rPr>
      </w:pPr>
      <w:r>
        <w:rPr>
          <w:rFonts w:hint="eastAsia" w:ascii="宋体" w:hAnsi="宋体"/>
          <w:sz w:val="24"/>
          <w:szCs w:val="36"/>
        </w:rPr>
        <w:t>特此承诺。</w:t>
      </w:r>
    </w:p>
    <w:p>
      <w:pPr>
        <w:kinsoku w:val="0"/>
        <w:overflowPunct w:val="0"/>
        <w:snapToGrid w:val="0"/>
        <w:spacing w:line="440" w:lineRule="atLeast"/>
        <w:ind w:firstLine="420" w:firstLineChars="200"/>
        <w:jc w:val="left"/>
        <w:rPr>
          <w:rFonts w:hint="eastAsia" w:ascii="宋体" w:hAnsi="宋体"/>
          <w:szCs w:val="28"/>
        </w:rPr>
      </w:pPr>
    </w:p>
    <w:p>
      <w:pPr>
        <w:snapToGrid w:val="0"/>
        <w:spacing w:line="520" w:lineRule="exact"/>
        <w:ind w:firstLine="5500" w:firstLineChars="2292"/>
        <w:jc w:val="left"/>
        <w:rPr>
          <w:rFonts w:hint="eastAsia" w:ascii="宋体" w:hAnsi="宋体"/>
          <w:sz w:val="24"/>
          <w:szCs w:val="24"/>
          <w:u w:val="single"/>
        </w:rPr>
      </w:pPr>
      <w:r>
        <w:rPr>
          <w:rFonts w:hint="eastAsia" w:ascii="宋体" w:hAnsi="宋体"/>
          <w:sz w:val="24"/>
          <w:szCs w:val="24"/>
        </w:rPr>
        <w:t>报价单位（盖章）：</w:t>
      </w:r>
      <w:r>
        <w:rPr>
          <w:rFonts w:hint="eastAsia" w:ascii="宋体" w:hAnsi="宋体"/>
          <w:sz w:val="24"/>
          <w:szCs w:val="24"/>
          <w:u w:val="single"/>
        </w:rPr>
        <w:t xml:space="preserve">         </w:t>
      </w:r>
    </w:p>
    <w:p>
      <w:pPr>
        <w:snapToGrid w:val="0"/>
        <w:spacing w:line="520" w:lineRule="exact"/>
        <w:ind w:firstLine="5500" w:firstLineChars="2292"/>
        <w:jc w:val="left"/>
        <w:rPr>
          <w:rFonts w:ascii="宋体" w:hAnsi="宋体"/>
          <w:sz w:val="24"/>
          <w:szCs w:val="24"/>
          <w:u w:val="single"/>
        </w:rPr>
      </w:pPr>
      <w:r>
        <w:rPr>
          <w:rFonts w:hint="eastAsia" w:ascii="宋体" w:hAnsi="宋体"/>
          <w:sz w:val="24"/>
          <w:szCs w:val="24"/>
        </w:rPr>
        <w:t>日期：</w:t>
      </w:r>
      <w:r>
        <w:rPr>
          <w:rFonts w:hint="eastAsia" w:ascii="宋体" w:hAnsi="宋体"/>
          <w:sz w:val="24"/>
          <w:szCs w:val="24"/>
          <w:u w:val="single"/>
        </w:rPr>
        <w:t xml:space="preserve">                      </w:t>
      </w:r>
    </w:p>
    <w:p>
      <w:pPr>
        <w:kinsoku w:val="0"/>
        <w:overflowPunct w:val="0"/>
        <w:adjustRightInd/>
        <w:spacing w:line="400" w:lineRule="atLeast"/>
        <w:jc w:val="center"/>
        <w:rPr>
          <w:rFonts w:hint="eastAsia" w:ascii="宋体" w:hAnsi="宋体"/>
          <w:b/>
          <w:bCs/>
          <w:sz w:val="28"/>
          <w:szCs w:val="28"/>
        </w:rPr>
      </w:pPr>
    </w:p>
    <w:p>
      <w:pPr>
        <w:pStyle w:val="2"/>
        <w:rPr>
          <w:rFonts w:asciiTheme="minorEastAsia" w:hAnsiTheme="minorEastAsia" w:cstheme="minorEastAsia"/>
          <w:b/>
          <w:bCs/>
          <w:sz w:val="24"/>
          <w:szCs w:val="24"/>
        </w:rPr>
      </w:pPr>
    </w:p>
    <w:p>
      <w:pPr>
        <w:pStyle w:val="2"/>
        <w:rPr>
          <w:rFonts w:asciiTheme="minorEastAsia" w:hAnsiTheme="minorEastAsia" w:cstheme="minorEastAsia"/>
          <w:b/>
          <w:bCs/>
          <w:sz w:val="24"/>
          <w:szCs w:val="24"/>
        </w:rPr>
      </w:pPr>
    </w:p>
    <w:p>
      <w:pPr>
        <w:pStyle w:val="2"/>
        <w:rPr>
          <w:rFonts w:asciiTheme="minorEastAsia" w:hAnsiTheme="minorEastAsia" w:cstheme="minorEastAsia"/>
          <w:b/>
          <w:bCs/>
          <w:sz w:val="24"/>
          <w:szCs w:val="24"/>
        </w:rPr>
      </w:pPr>
    </w:p>
    <w:p>
      <w:pPr>
        <w:pStyle w:val="2"/>
        <w:rPr>
          <w:rFonts w:asciiTheme="minorEastAsia" w:hAnsiTheme="minorEastAsia" w:cstheme="minorEastAsia"/>
          <w:b/>
          <w:bCs/>
          <w:sz w:val="24"/>
          <w:szCs w:val="24"/>
        </w:rPr>
      </w:pPr>
    </w:p>
    <w:p>
      <w:pPr>
        <w:pStyle w:val="2"/>
        <w:rPr>
          <w:rFonts w:asciiTheme="minorEastAsia" w:hAnsiTheme="minorEastAsia" w:cstheme="minorEastAsia"/>
          <w:b/>
          <w:bCs/>
          <w:sz w:val="24"/>
          <w:szCs w:val="24"/>
        </w:rPr>
      </w:pPr>
    </w:p>
    <w:p>
      <w:pPr>
        <w:pStyle w:val="2"/>
        <w:rPr>
          <w:rFonts w:asciiTheme="minorEastAsia" w:hAnsiTheme="minorEastAsia" w:cstheme="minorEastAsia"/>
          <w:b/>
          <w:bCs/>
          <w:sz w:val="24"/>
          <w:szCs w:val="24"/>
        </w:rPr>
      </w:pPr>
    </w:p>
    <w:p>
      <w:pPr>
        <w:pStyle w:val="2"/>
        <w:rPr>
          <w:rFonts w:asciiTheme="minorEastAsia" w:hAnsiTheme="minorEastAsia" w:cstheme="minorEastAsia"/>
          <w:b/>
          <w:bCs/>
          <w:sz w:val="24"/>
          <w:szCs w:val="24"/>
        </w:rPr>
      </w:pPr>
    </w:p>
    <w:p>
      <w:pPr>
        <w:autoSpaceDE/>
        <w:autoSpaceDN/>
        <w:snapToGrid w:val="0"/>
        <w:jc w:val="both"/>
        <w:textAlignment w:val="auto"/>
        <w:outlineLvl w:val="0"/>
        <w:rPr>
          <w:rFonts w:ascii="宋体" w:hAnsi="宋体"/>
          <w:bCs/>
          <w:sz w:val="28"/>
          <w:szCs w:val="28"/>
        </w:rPr>
      </w:pPr>
      <w:bookmarkStart w:id="211" w:name="_Toc19366"/>
      <w:r>
        <w:rPr>
          <w:rFonts w:hint="eastAsia" w:ascii="宋体" w:hAnsi="宋体"/>
          <w:bCs/>
          <w:sz w:val="28"/>
          <w:szCs w:val="28"/>
        </w:rPr>
        <w:t>附件7 企业能有效识别二维码且加盖报价单位公章的营业执照复印件</w:t>
      </w:r>
      <w:bookmarkEnd w:id="211"/>
    </w:p>
    <w:p>
      <w:pPr>
        <w:pStyle w:val="2"/>
        <w:rPr>
          <w:rFonts w:asciiTheme="minorEastAsia" w:hAnsiTheme="minorEastAsia" w:cstheme="minorEastAsia"/>
          <w:b/>
          <w:bCs/>
          <w:sz w:val="24"/>
          <w:szCs w:val="24"/>
        </w:rPr>
      </w:pPr>
    </w:p>
    <w:p>
      <w:pPr>
        <w:pStyle w:val="2"/>
        <w:rPr>
          <w:rFonts w:asciiTheme="minorEastAsia" w:hAnsiTheme="minorEastAsia" w:cstheme="minorEastAsia"/>
          <w:b/>
          <w:bCs/>
          <w:sz w:val="24"/>
          <w:szCs w:val="24"/>
        </w:rPr>
      </w:pPr>
    </w:p>
    <w:p>
      <w:pPr>
        <w:autoSpaceDE/>
        <w:autoSpaceDN/>
        <w:snapToGrid w:val="0"/>
        <w:jc w:val="both"/>
        <w:textAlignment w:val="auto"/>
        <w:outlineLvl w:val="0"/>
        <w:rPr>
          <w:rFonts w:hint="eastAsia" w:ascii="宋体" w:hAnsi="宋体"/>
          <w:bCs/>
          <w:sz w:val="28"/>
          <w:szCs w:val="28"/>
        </w:rPr>
      </w:pPr>
      <w:bookmarkStart w:id="212" w:name="_Toc213"/>
      <w:r>
        <w:rPr>
          <w:rFonts w:hint="eastAsia" w:ascii="宋体" w:hAnsi="宋体"/>
          <w:bCs/>
          <w:sz w:val="28"/>
          <w:szCs w:val="28"/>
        </w:rPr>
        <w:t>附件</w:t>
      </w:r>
      <w:r>
        <w:rPr>
          <w:rFonts w:hint="eastAsia" w:ascii="宋体" w:hAnsi="宋体"/>
          <w:bCs/>
          <w:sz w:val="28"/>
          <w:szCs w:val="28"/>
          <w:lang w:val="en-US" w:eastAsia="zh-CN"/>
        </w:rPr>
        <w:t>8</w:t>
      </w:r>
      <w:r>
        <w:rPr>
          <w:rFonts w:hint="eastAsia" w:ascii="宋体" w:hAnsi="宋体"/>
          <w:bCs/>
          <w:sz w:val="28"/>
          <w:szCs w:val="28"/>
        </w:rPr>
        <w:t xml:space="preserve"> 相关业绩证明，提供合同复印件（加盖报价单位公章）</w:t>
      </w:r>
      <w:bookmarkEnd w:id="212"/>
    </w:p>
    <w:p>
      <w:pPr>
        <w:pStyle w:val="2"/>
        <w:rPr>
          <w:rFonts w:hint="eastAsia" w:asciiTheme="minorEastAsia" w:hAnsiTheme="minorEastAsia" w:cstheme="minorEastAsia"/>
          <w:b/>
          <w:bCs/>
          <w:sz w:val="24"/>
          <w:szCs w:val="24"/>
          <w:lang w:val="en-US" w:eastAsia="zh-CN"/>
        </w:rPr>
      </w:pPr>
    </w:p>
    <w:p>
      <w:pPr>
        <w:pStyle w:val="2"/>
        <w:rPr>
          <w:rFonts w:hint="eastAsia" w:asciiTheme="minorEastAsia" w:hAnsiTheme="minorEastAsia" w:cstheme="minorEastAsia"/>
          <w:b/>
          <w:bCs/>
          <w:sz w:val="24"/>
          <w:szCs w:val="24"/>
          <w:lang w:val="en-US" w:eastAsia="zh-CN"/>
        </w:rPr>
      </w:pPr>
    </w:p>
    <w:p>
      <w:pPr>
        <w:numPr>
          <w:ilvl w:val="-1"/>
          <w:numId w:val="0"/>
        </w:numPr>
        <w:tabs>
          <w:tab w:val="left" w:pos="0"/>
        </w:tabs>
        <w:snapToGrid w:val="0"/>
        <w:spacing w:line="400" w:lineRule="atLeast"/>
        <w:jc w:val="left"/>
        <w:textAlignment w:val="auto"/>
        <w:rPr>
          <w:rFonts w:hint="eastAsia" w:ascii="宋体" w:hAnsi="宋体"/>
          <w:bCs/>
          <w:color w:val="000000"/>
          <w:sz w:val="28"/>
          <w:szCs w:val="28"/>
        </w:rPr>
      </w:pPr>
      <w:r>
        <w:rPr>
          <w:rFonts w:hint="eastAsia" w:ascii="宋体" w:hAnsi="宋体"/>
          <w:bCs/>
          <w:color w:val="000000"/>
          <w:sz w:val="28"/>
          <w:szCs w:val="28"/>
          <w:lang w:val="en-US" w:eastAsia="zh-CN"/>
        </w:rPr>
        <w:t>附件9</w:t>
      </w:r>
      <w:r>
        <w:rPr>
          <w:rFonts w:hint="eastAsia" w:ascii="宋体" w:hAnsi="宋体"/>
          <w:bCs/>
          <w:color w:val="000000"/>
          <w:sz w:val="28"/>
          <w:szCs w:val="28"/>
        </w:rPr>
        <w:t>报价方认为需要提供的其它资料</w:t>
      </w:r>
    </w:p>
    <w:p>
      <w:pPr>
        <w:pStyle w:val="2"/>
        <w:rPr>
          <w:rFonts w:hint="eastAsia" w:asciiTheme="minorEastAsia" w:hAnsiTheme="minorEastAsia" w:cstheme="minorEastAsia"/>
          <w:b/>
          <w:bCs/>
          <w:sz w:val="24"/>
          <w:szCs w:val="24"/>
          <w:lang w:val="en-US" w:eastAsia="zh-CN"/>
        </w:rPr>
      </w:pPr>
    </w:p>
    <w:p>
      <w:pPr>
        <w:pStyle w:val="2"/>
        <w:rPr>
          <w:rFonts w:hint="eastAsia" w:asciiTheme="minorEastAsia" w:hAnsiTheme="minorEastAsia" w:cstheme="minorEastAsia"/>
          <w:b/>
          <w:bCs/>
          <w:sz w:val="24"/>
          <w:szCs w:val="24"/>
          <w:lang w:val="en-US" w:eastAsia="zh-CN"/>
        </w:rPr>
      </w:pPr>
    </w:p>
    <w:p>
      <w:pPr>
        <w:pStyle w:val="2"/>
        <w:rPr>
          <w:rFonts w:hint="eastAsia" w:asciiTheme="minorEastAsia" w:hAnsiTheme="minorEastAsia" w:cstheme="minorEastAsia"/>
          <w:b/>
          <w:bCs/>
          <w:sz w:val="24"/>
          <w:szCs w:val="24"/>
          <w:lang w:val="en-US" w:eastAsia="zh-CN"/>
        </w:rPr>
      </w:pPr>
    </w:p>
    <w:p>
      <w:pPr>
        <w:pStyle w:val="2"/>
        <w:rPr>
          <w:rFonts w:hint="eastAsia" w:asciiTheme="minorEastAsia" w:hAnsiTheme="minorEastAsia" w:cstheme="minorEastAsia"/>
          <w:b/>
          <w:bCs/>
          <w:sz w:val="24"/>
          <w:szCs w:val="24"/>
          <w:lang w:val="en-US" w:eastAsia="zh-CN"/>
        </w:rPr>
      </w:pPr>
    </w:p>
    <w:p>
      <w:pPr>
        <w:pStyle w:val="2"/>
        <w:rPr>
          <w:rFonts w:hint="eastAsia" w:asciiTheme="minorEastAsia" w:hAnsiTheme="minorEastAsia" w:cstheme="minorEastAsia"/>
          <w:b/>
          <w:bCs/>
          <w:sz w:val="24"/>
          <w:szCs w:val="24"/>
          <w:lang w:val="en-US" w:eastAsia="zh-CN"/>
        </w:rPr>
      </w:pPr>
    </w:p>
    <w:p>
      <w:pPr>
        <w:pStyle w:val="2"/>
        <w:rPr>
          <w:rFonts w:hint="eastAsia" w:asciiTheme="minorEastAsia" w:hAnsiTheme="minorEastAsia" w:cstheme="minorEastAsia"/>
          <w:b/>
          <w:bCs/>
          <w:sz w:val="24"/>
          <w:szCs w:val="24"/>
          <w:lang w:val="en-US" w:eastAsia="zh-CN"/>
        </w:rPr>
      </w:pPr>
    </w:p>
    <w:p>
      <w:pPr>
        <w:pStyle w:val="2"/>
        <w:rPr>
          <w:rFonts w:hint="eastAsia" w:asciiTheme="minorEastAsia" w:hAnsiTheme="minorEastAsia" w:cstheme="minorEastAsia"/>
          <w:b/>
          <w:bCs/>
          <w:sz w:val="24"/>
          <w:szCs w:val="24"/>
          <w:lang w:val="en-US" w:eastAsia="zh-CN"/>
        </w:rPr>
      </w:pPr>
    </w:p>
    <w:p>
      <w:pPr>
        <w:pStyle w:val="2"/>
        <w:rPr>
          <w:rFonts w:hint="eastAsia" w:asciiTheme="minorEastAsia" w:hAnsiTheme="minorEastAsia" w:cstheme="minorEastAsia"/>
          <w:b/>
          <w:bCs/>
          <w:sz w:val="24"/>
          <w:szCs w:val="24"/>
          <w:lang w:val="en-US" w:eastAsia="zh-CN"/>
        </w:rPr>
      </w:pPr>
    </w:p>
    <w:p>
      <w:pPr>
        <w:pStyle w:val="2"/>
        <w:rPr>
          <w:rFonts w:hint="eastAsia" w:asciiTheme="minorEastAsia" w:hAnsiTheme="minorEastAsia" w:cstheme="minorEastAsia"/>
          <w:b/>
          <w:bCs/>
          <w:sz w:val="24"/>
          <w:szCs w:val="24"/>
          <w:lang w:val="en-US" w:eastAsia="zh-CN"/>
        </w:rPr>
      </w:pPr>
    </w:p>
    <w:p>
      <w:pPr>
        <w:pStyle w:val="2"/>
        <w:rPr>
          <w:rFonts w:hint="eastAsia" w:asciiTheme="minorEastAsia" w:hAnsiTheme="minorEastAsia" w:cstheme="minorEastAsia"/>
          <w:b/>
          <w:bCs/>
          <w:sz w:val="24"/>
          <w:szCs w:val="24"/>
          <w:lang w:val="en-US" w:eastAsia="zh-CN"/>
        </w:rPr>
      </w:pPr>
    </w:p>
    <w:p>
      <w:pPr>
        <w:pStyle w:val="2"/>
        <w:rPr>
          <w:rFonts w:hint="eastAsia" w:asciiTheme="minorEastAsia" w:hAnsiTheme="minorEastAsia" w:cstheme="minorEastAsia"/>
          <w:b/>
          <w:bCs/>
          <w:sz w:val="24"/>
          <w:szCs w:val="24"/>
          <w:lang w:val="en-US" w:eastAsia="zh-CN"/>
        </w:rPr>
      </w:pPr>
    </w:p>
    <w:p>
      <w:pPr>
        <w:pStyle w:val="2"/>
        <w:rPr>
          <w:rFonts w:hint="eastAsia" w:asciiTheme="minorEastAsia" w:hAnsiTheme="minorEastAsia" w:cstheme="minorEastAsia"/>
          <w:b/>
          <w:bCs/>
          <w:sz w:val="24"/>
          <w:szCs w:val="24"/>
          <w:lang w:val="en-US" w:eastAsia="zh-CN"/>
        </w:rPr>
      </w:pPr>
    </w:p>
    <w:p>
      <w:pPr>
        <w:pStyle w:val="2"/>
        <w:rPr>
          <w:rFonts w:hint="eastAsia" w:asciiTheme="minorEastAsia" w:hAnsiTheme="minorEastAsia" w:cstheme="minorEastAsia"/>
          <w:b/>
          <w:bCs/>
          <w:sz w:val="24"/>
          <w:szCs w:val="24"/>
          <w:lang w:val="en-US" w:eastAsia="zh-CN"/>
        </w:rPr>
      </w:pPr>
    </w:p>
    <w:p>
      <w:pPr>
        <w:pStyle w:val="2"/>
        <w:rPr>
          <w:rFonts w:hint="eastAsia" w:asciiTheme="minorEastAsia" w:hAnsiTheme="minorEastAsia" w:cstheme="minorEastAsia"/>
          <w:b/>
          <w:bCs/>
          <w:sz w:val="24"/>
          <w:szCs w:val="24"/>
          <w:lang w:val="en-US" w:eastAsia="zh-CN"/>
        </w:rPr>
      </w:pPr>
    </w:p>
    <w:p>
      <w:pPr>
        <w:pStyle w:val="2"/>
        <w:rPr>
          <w:rFonts w:hint="eastAsia" w:asciiTheme="minorEastAsia" w:hAnsiTheme="minorEastAsia" w:cstheme="minorEastAsia"/>
          <w:b/>
          <w:bCs/>
          <w:sz w:val="24"/>
          <w:szCs w:val="24"/>
          <w:lang w:val="en-US" w:eastAsia="zh-CN"/>
        </w:rPr>
      </w:pPr>
    </w:p>
    <w:p>
      <w:pPr>
        <w:pStyle w:val="2"/>
        <w:rPr>
          <w:rFonts w:hint="eastAsia" w:asciiTheme="minorEastAsia" w:hAnsiTheme="minorEastAsia" w:cstheme="minorEastAsia"/>
          <w:b/>
          <w:bCs/>
          <w:sz w:val="24"/>
          <w:szCs w:val="24"/>
          <w:lang w:val="en-US" w:eastAsia="zh-CN"/>
        </w:rPr>
      </w:pPr>
    </w:p>
    <w:p>
      <w:pPr>
        <w:pStyle w:val="2"/>
        <w:rPr>
          <w:rFonts w:hint="eastAsia" w:asciiTheme="minorEastAsia" w:hAnsiTheme="minorEastAsia" w:cstheme="minorEastAsia"/>
          <w:b/>
          <w:bCs/>
          <w:sz w:val="24"/>
          <w:szCs w:val="24"/>
          <w:lang w:val="en-US" w:eastAsia="zh-CN"/>
        </w:rPr>
      </w:pPr>
    </w:p>
    <w:p>
      <w:pPr>
        <w:pStyle w:val="2"/>
        <w:rPr>
          <w:rFonts w:hint="eastAsia" w:asciiTheme="minorEastAsia" w:hAnsiTheme="minorEastAsia" w:cstheme="minorEastAsia"/>
          <w:b/>
          <w:bCs/>
          <w:sz w:val="24"/>
          <w:szCs w:val="24"/>
          <w:lang w:val="en-US" w:eastAsia="zh-CN"/>
        </w:rPr>
      </w:pPr>
    </w:p>
    <w:p>
      <w:pPr>
        <w:pStyle w:val="2"/>
        <w:rPr>
          <w:rFonts w:hint="eastAsia" w:asciiTheme="minorEastAsia" w:hAnsiTheme="minorEastAsia" w:cstheme="minorEastAsia"/>
          <w:b/>
          <w:bCs/>
          <w:sz w:val="24"/>
          <w:szCs w:val="24"/>
          <w:lang w:val="en-US" w:eastAsia="zh-CN"/>
        </w:rPr>
      </w:pPr>
    </w:p>
    <w:p>
      <w:pPr>
        <w:pStyle w:val="2"/>
        <w:rPr>
          <w:rFonts w:hint="eastAsia" w:asciiTheme="minorEastAsia" w:hAnsiTheme="minorEastAsia" w:cstheme="minorEastAsia"/>
          <w:b/>
          <w:bCs/>
          <w:sz w:val="24"/>
          <w:szCs w:val="24"/>
          <w:lang w:val="en-US" w:eastAsia="zh-CN"/>
        </w:rPr>
      </w:pPr>
    </w:p>
    <w:p>
      <w:pPr>
        <w:pStyle w:val="2"/>
        <w:rPr>
          <w:rFonts w:hint="eastAsia" w:asciiTheme="minorEastAsia" w:hAnsiTheme="minorEastAsia" w:cstheme="minorEastAsia"/>
          <w:b/>
          <w:bCs/>
          <w:sz w:val="24"/>
          <w:szCs w:val="24"/>
          <w:lang w:val="en-US" w:eastAsia="zh-CN"/>
        </w:rPr>
      </w:pPr>
    </w:p>
    <w:p>
      <w:pPr>
        <w:pStyle w:val="2"/>
        <w:rPr>
          <w:rFonts w:hint="eastAsia" w:asciiTheme="minorEastAsia" w:hAnsiTheme="minorEastAsia" w:cstheme="minorEastAsia"/>
          <w:b/>
          <w:bCs/>
          <w:sz w:val="24"/>
          <w:szCs w:val="24"/>
          <w:lang w:val="en-US" w:eastAsia="zh-CN"/>
        </w:rPr>
      </w:pPr>
    </w:p>
    <w:p>
      <w:pPr>
        <w:pStyle w:val="2"/>
        <w:rPr>
          <w:rFonts w:hint="eastAsia" w:asciiTheme="minorEastAsia" w:hAnsiTheme="minorEastAsia" w:cstheme="minorEastAsia"/>
          <w:b/>
          <w:bCs/>
          <w:sz w:val="24"/>
          <w:szCs w:val="24"/>
          <w:lang w:val="en-US" w:eastAsia="zh-CN"/>
        </w:rPr>
      </w:pPr>
    </w:p>
    <w:p>
      <w:pPr>
        <w:pStyle w:val="2"/>
        <w:rPr>
          <w:rFonts w:hint="eastAsia" w:asciiTheme="minorEastAsia" w:hAnsiTheme="minorEastAsia" w:cstheme="minorEastAsia"/>
          <w:b/>
          <w:bCs/>
          <w:sz w:val="24"/>
          <w:szCs w:val="24"/>
          <w:lang w:val="en-US" w:eastAsia="zh-CN"/>
        </w:rPr>
      </w:pPr>
    </w:p>
    <w:p>
      <w:pPr>
        <w:pStyle w:val="2"/>
        <w:rPr>
          <w:rFonts w:hint="eastAsia" w:asciiTheme="minorEastAsia" w:hAnsiTheme="minorEastAsia" w:cstheme="minorEastAsia"/>
          <w:b/>
          <w:bCs/>
          <w:sz w:val="24"/>
          <w:szCs w:val="24"/>
          <w:lang w:val="en-US" w:eastAsia="zh-CN"/>
        </w:rPr>
      </w:pPr>
    </w:p>
    <w:p>
      <w:pPr>
        <w:pStyle w:val="2"/>
        <w:rPr>
          <w:rFonts w:hint="eastAsia" w:asciiTheme="minorEastAsia" w:hAnsiTheme="minorEastAsia" w:cstheme="minorEastAsia"/>
          <w:b/>
          <w:bCs/>
          <w:sz w:val="24"/>
          <w:szCs w:val="24"/>
          <w:lang w:val="en-US" w:eastAsia="zh-CN"/>
        </w:rPr>
      </w:pPr>
    </w:p>
    <w:p>
      <w:pPr>
        <w:pStyle w:val="2"/>
        <w:rPr>
          <w:rFonts w:hint="eastAsia" w:asciiTheme="minorEastAsia" w:hAnsiTheme="minorEastAsia" w:cstheme="minorEastAsia"/>
          <w:b/>
          <w:bCs/>
          <w:sz w:val="24"/>
          <w:szCs w:val="24"/>
          <w:lang w:val="en-US" w:eastAsia="zh-CN"/>
        </w:rPr>
      </w:pPr>
    </w:p>
    <w:p>
      <w:pPr>
        <w:pStyle w:val="2"/>
        <w:rPr>
          <w:rFonts w:hint="eastAsia" w:asciiTheme="minorEastAsia" w:hAnsiTheme="minorEastAsia" w:cstheme="minorEastAsia"/>
          <w:b/>
          <w:bCs/>
          <w:sz w:val="24"/>
          <w:szCs w:val="24"/>
          <w:lang w:val="en-US" w:eastAsia="zh-CN"/>
        </w:rPr>
      </w:pPr>
    </w:p>
    <w:p>
      <w:pPr>
        <w:pStyle w:val="2"/>
        <w:rPr>
          <w:rFonts w:hint="eastAsia" w:asciiTheme="minorEastAsia" w:hAnsiTheme="minorEastAsia" w:cstheme="minorEastAsia"/>
          <w:b/>
          <w:bCs/>
          <w:sz w:val="24"/>
          <w:szCs w:val="24"/>
          <w:lang w:val="en-US" w:eastAsia="zh-CN"/>
        </w:rPr>
      </w:pPr>
    </w:p>
    <w:p>
      <w:pPr>
        <w:pStyle w:val="2"/>
        <w:rPr>
          <w:rFonts w:hint="eastAsia" w:asciiTheme="minorEastAsia" w:hAnsiTheme="minorEastAsia" w:cstheme="minorEastAsia"/>
          <w:b/>
          <w:bCs/>
          <w:sz w:val="24"/>
          <w:szCs w:val="24"/>
          <w:lang w:val="en-US" w:eastAsia="zh-CN"/>
        </w:rPr>
      </w:pPr>
    </w:p>
    <w:p>
      <w:pPr>
        <w:pStyle w:val="2"/>
        <w:rPr>
          <w:rFonts w:hint="eastAsia" w:asciiTheme="minorEastAsia" w:hAnsiTheme="minorEastAsia" w:cstheme="minorEastAsia"/>
          <w:b/>
          <w:bCs/>
          <w:sz w:val="24"/>
          <w:szCs w:val="24"/>
          <w:lang w:val="en-US" w:eastAsia="zh-CN"/>
        </w:rPr>
      </w:pPr>
    </w:p>
    <w:p>
      <w:pPr>
        <w:pStyle w:val="2"/>
        <w:rPr>
          <w:rFonts w:hint="eastAsia" w:asciiTheme="minorEastAsia" w:hAnsiTheme="minorEastAsia" w:cstheme="minorEastAsia"/>
          <w:b/>
          <w:bCs/>
          <w:sz w:val="24"/>
          <w:szCs w:val="24"/>
          <w:lang w:val="en-US" w:eastAsia="zh-CN"/>
        </w:rPr>
      </w:pPr>
    </w:p>
    <w:p>
      <w:pPr>
        <w:pStyle w:val="2"/>
        <w:rPr>
          <w:rFonts w:hint="eastAsia" w:asciiTheme="minorEastAsia" w:hAnsiTheme="minorEastAsia" w:cstheme="minorEastAsia"/>
          <w:b/>
          <w:bCs/>
          <w:sz w:val="24"/>
          <w:szCs w:val="24"/>
          <w:lang w:val="en-US" w:eastAsia="zh-CN"/>
        </w:rPr>
      </w:pPr>
    </w:p>
    <w:bookmarkEnd w:id="155"/>
    <w:bookmarkEnd w:id="156"/>
    <w:bookmarkEnd w:id="157"/>
    <w:p>
      <w:pPr>
        <w:rPr>
          <w:rFonts w:asciiTheme="minorEastAsia" w:hAnsiTheme="minorEastAsia" w:cstheme="minorEastAsia"/>
          <w:sz w:val="24"/>
          <w:szCs w:val="24"/>
        </w:rPr>
      </w:pPr>
    </w:p>
    <w:sectPr>
      <w:footerReference r:id="rId3" w:type="default"/>
      <w:pgSz w:w="11906" w:h="16838"/>
      <w:pgMar w:top="1440" w:right="1406" w:bottom="1440" w:left="1463"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文鼎粗行楷体简">
    <w:altName w:val="宋体"/>
    <w:panose1 w:val="02010600030101010101"/>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eastAsiaTheme="minorEastAsia"/>
                              <w:lang w:val="en-US" w:eastAsia="zh-CN"/>
                            </w:rPr>
                          </w:pPr>
                          <w:r>
                            <w:fldChar w:fldCharType="begin"/>
                          </w:r>
                          <w:r>
                            <w:instrText xml:space="preserve"> PAGE  \* MERGEFORMAT </w:instrText>
                          </w:r>
                          <w:r>
                            <w:fldChar w:fldCharType="separate"/>
                          </w:r>
                          <w:r>
                            <w:t>2</w:t>
                          </w:r>
                          <w:r>
                            <w:fldChar w:fldCharType="end"/>
                          </w:r>
                          <w:r>
                            <w:t xml:space="preserve"> / </w:t>
                          </w:r>
                          <w:r>
                            <w:rPr>
                              <w:rFonts w:hint="eastAsia"/>
                              <w:lang w:val="en-US" w:eastAsia="zh-CN"/>
                            </w:rPr>
                            <w:t>26</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7"/>
                      <w:rPr>
                        <w:rFonts w:hint="default" w:eastAsiaTheme="minorEastAsia"/>
                        <w:lang w:val="en-US" w:eastAsia="zh-CN"/>
                      </w:rPr>
                    </w:pPr>
                    <w:r>
                      <w:fldChar w:fldCharType="begin"/>
                    </w:r>
                    <w:r>
                      <w:instrText xml:space="preserve"> PAGE  \* MERGEFORMAT </w:instrText>
                    </w:r>
                    <w:r>
                      <w:fldChar w:fldCharType="separate"/>
                    </w:r>
                    <w:r>
                      <w:t>2</w:t>
                    </w:r>
                    <w:r>
                      <w:fldChar w:fldCharType="end"/>
                    </w:r>
                    <w:r>
                      <w:t xml:space="preserve"> / </w:t>
                    </w:r>
                    <w:r>
                      <w:rPr>
                        <w:rFonts w:hint="eastAsia"/>
                        <w:lang w:val="en-US" w:eastAsia="zh-CN"/>
                      </w:rPr>
                      <w:t>26</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41FA23"/>
    <w:multiLevelType w:val="singleLevel"/>
    <w:tmpl w:val="8441FA23"/>
    <w:lvl w:ilvl="0" w:tentative="0">
      <w:start w:val="1"/>
      <w:numFmt w:val="decimal"/>
      <w:suff w:val="nothing"/>
      <w:lvlText w:val="4.5.%1 "/>
      <w:lvlJc w:val="left"/>
      <w:pPr>
        <w:tabs>
          <w:tab w:val="left" w:pos="0"/>
        </w:tabs>
        <w:ind w:left="0" w:firstLine="0"/>
      </w:pPr>
      <w:rPr>
        <w:rFonts w:hint="default" w:ascii="宋体" w:hAnsi="宋体" w:eastAsia="宋体" w:cs="宋体"/>
      </w:rPr>
    </w:lvl>
  </w:abstractNum>
  <w:abstractNum w:abstractNumId="1">
    <w:nsid w:val="8D26BEB1"/>
    <w:multiLevelType w:val="singleLevel"/>
    <w:tmpl w:val="8D26BEB1"/>
    <w:lvl w:ilvl="0" w:tentative="0">
      <w:start w:val="1"/>
      <w:numFmt w:val="decimal"/>
      <w:suff w:val="nothing"/>
      <w:lvlText w:val="%1、"/>
      <w:lvlJc w:val="left"/>
      <w:pPr>
        <w:ind w:left="0" w:firstLine="397"/>
      </w:pPr>
      <w:rPr>
        <w:rFonts w:hint="default"/>
      </w:rPr>
    </w:lvl>
  </w:abstractNum>
  <w:abstractNum w:abstractNumId="2">
    <w:nsid w:val="8E69E9A4"/>
    <w:multiLevelType w:val="singleLevel"/>
    <w:tmpl w:val="8E69E9A4"/>
    <w:lvl w:ilvl="0" w:tentative="0">
      <w:start w:val="1"/>
      <w:numFmt w:val="decimal"/>
      <w:suff w:val="nothing"/>
      <w:lvlText w:val="%1、"/>
      <w:lvlJc w:val="left"/>
      <w:pPr>
        <w:tabs>
          <w:tab w:val="left" w:pos="0"/>
        </w:tabs>
        <w:ind w:left="0" w:firstLine="0"/>
      </w:pPr>
      <w:rPr>
        <w:rFonts w:hint="default"/>
      </w:rPr>
    </w:lvl>
  </w:abstractNum>
  <w:abstractNum w:abstractNumId="3">
    <w:nsid w:val="8E6E1503"/>
    <w:multiLevelType w:val="singleLevel"/>
    <w:tmpl w:val="8E6E1503"/>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4">
    <w:nsid w:val="95515367"/>
    <w:multiLevelType w:val="singleLevel"/>
    <w:tmpl w:val="95515367"/>
    <w:lvl w:ilvl="0" w:tentative="0">
      <w:start w:val="1"/>
      <w:numFmt w:val="decimal"/>
      <w:suff w:val="nothing"/>
      <w:lvlText w:val="5.5.%1 "/>
      <w:lvlJc w:val="left"/>
      <w:pPr>
        <w:tabs>
          <w:tab w:val="left" w:pos="0"/>
        </w:tabs>
        <w:ind w:left="0" w:firstLine="0"/>
      </w:pPr>
      <w:rPr>
        <w:rFonts w:hint="default" w:ascii="宋体" w:hAnsi="宋体" w:eastAsia="宋体" w:cs="宋体"/>
      </w:rPr>
    </w:lvl>
  </w:abstractNum>
  <w:abstractNum w:abstractNumId="5">
    <w:nsid w:val="99F4C1B7"/>
    <w:multiLevelType w:val="singleLevel"/>
    <w:tmpl w:val="99F4C1B7"/>
    <w:lvl w:ilvl="0" w:tentative="0">
      <w:start w:val="1"/>
      <w:numFmt w:val="decimal"/>
      <w:suff w:val="nothing"/>
      <w:lvlText w:val="6.1.%1 "/>
      <w:lvlJc w:val="left"/>
      <w:pPr>
        <w:tabs>
          <w:tab w:val="left" w:pos="0"/>
        </w:tabs>
        <w:ind w:left="0" w:firstLine="0"/>
      </w:pPr>
      <w:rPr>
        <w:rFonts w:hint="default" w:ascii="宋体" w:hAnsi="宋体" w:eastAsia="宋体" w:cs="宋体"/>
      </w:rPr>
    </w:lvl>
  </w:abstractNum>
  <w:abstractNum w:abstractNumId="6">
    <w:nsid w:val="A8A6A970"/>
    <w:multiLevelType w:val="singleLevel"/>
    <w:tmpl w:val="A8A6A970"/>
    <w:lvl w:ilvl="0" w:tentative="0">
      <w:start w:val="1"/>
      <w:numFmt w:val="decimal"/>
      <w:suff w:val="nothing"/>
      <w:lvlText w:val="3.%1 "/>
      <w:lvlJc w:val="left"/>
      <w:pPr>
        <w:tabs>
          <w:tab w:val="left" w:pos="0"/>
        </w:tabs>
        <w:ind w:left="0" w:firstLine="0"/>
      </w:pPr>
      <w:rPr>
        <w:rFonts w:hint="default" w:ascii="宋体" w:hAnsi="宋体" w:eastAsia="宋体" w:cs="宋体"/>
      </w:rPr>
    </w:lvl>
  </w:abstractNum>
  <w:abstractNum w:abstractNumId="7">
    <w:nsid w:val="AA5BE932"/>
    <w:multiLevelType w:val="singleLevel"/>
    <w:tmpl w:val="AA5BE932"/>
    <w:lvl w:ilvl="0" w:tentative="0">
      <w:start w:val="1"/>
      <w:numFmt w:val="decimal"/>
      <w:suff w:val="nothing"/>
      <w:lvlText w:val="%1．"/>
      <w:lvlJc w:val="left"/>
      <w:pPr>
        <w:ind w:left="0" w:firstLine="400"/>
      </w:pPr>
      <w:rPr>
        <w:rFonts w:hint="default"/>
      </w:rPr>
    </w:lvl>
  </w:abstractNum>
  <w:abstractNum w:abstractNumId="8">
    <w:nsid w:val="AA81F078"/>
    <w:multiLevelType w:val="singleLevel"/>
    <w:tmpl w:val="AA81F078"/>
    <w:lvl w:ilvl="0" w:tentative="0">
      <w:start w:val="1"/>
      <w:numFmt w:val="decimal"/>
      <w:suff w:val="nothing"/>
      <w:lvlText w:val="5.3.%1 "/>
      <w:lvlJc w:val="left"/>
      <w:pPr>
        <w:tabs>
          <w:tab w:val="left" w:pos="0"/>
        </w:tabs>
        <w:ind w:left="0" w:firstLine="0"/>
      </w:pPr>
      <w:rPr>
        <w:rFonts w:hint="default" w:ascii="宋体" w:hAnsi="宋体" w:eastAsia="宋体" w:cs="宋体"/>
      </w:rPr>
    </w:lvl>
  </w:abstractNum>
  <w:abstractNum w:abstractNumId="9">
    <w:nsid w:val="BB222211"/>
    <w:multiLevelType w:val="singleLevel"/>
    <w:tmpl w:val="BB222211"/>
    <w:lvl w:ilvl="0" w:tentative="0">
      <w:start w:val="1"/>
      <w:numFmt w:val="decimal"/>
      <w:suff w:val="nothing"/>
      <w:lvlText w:val="%1 "/>
      <w:lvlJc w:val="left"/>
      <w:pPr>
        <w:tabs>
          <w:tab w:val="left" w:pos="0"/>
        </w:tabs>
        <w:ind w:left="0" w:firstLine="2"/>
      </w:pPr>
      <w:rPr>
        <w:rFonts w:hint="default" w:ascii="宋体" w:hAnsi="宋体" w:eastAsia="宋体" w:cs="宋体"/>
      </w:rPr>
    </w:lvl>
  </w:abstractNum>
  <w:abstractNum w:abstractNumId="10">
    <w:nsid w:val="BBA00377"/>
    <w:multiLevelType w:val="singleLevel"/>
    <w:tmpl w:val="BBA00377"/>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11">
    <w:nsid w:val="BE112D20"/>
    <w:multiLevelType w:val="singleLevel"/>
    <w:tmpl w:val="BE112D20"/>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12">
    <w:nsid w:val="C528CC8A"/>
    <w:multiLevelType w:val="singleLevel"/>
    <w:tmpl w:val="C528CC8A"/>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13">
    <w:nsid w:val="C67FC2CC"/>
    <w:multiLevelType w:val="singleLevel"/>
    <w:tmpl w:val="C67FC2CC"/>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14">
    <w:nsid w:val="CEAA40BF"/>
    <w:multiLevelType w:val="singleLevel"/>
    <w:tmpl w:val="CEAA40BF"/>
    <w:lvl w:ilvl="0" w:tentative="0">
      <w:start w:val="1"/>
      <w:numFmt w:val="decimal"/>
      <w:suff w:val="nothing"/>
      <w:lvlText w:val="10.%1 "/>
      <w:lvlJc w:val="left"/>
      <w:pPr>
        <w:tabs>
          <w:tab w:val="left" w:pos="0"/>
        </w:tabs>
        <w:ind w:left="0" w:firstLine="0"/>
      </w:pPr>
      <w:rPr>
        <w:rFonts w:hint="default" w:ascii="宋体" w:hAnsi="宋体" w:eastAsia="宋体" w:cs="宋体"/>
      </w:rPr>
    </w:lvl>
  </w:abstractNum>
  <w:abstractNum w:abstractNumId="15">
    <w:nsid w:val="CF647CB0"/>
    <w:multiLevelType w:val="singleLevel"/>
    <w:tmpl w:val="CF647CB0"/>
    <w:lvl w:ilvl="0" w:tentative="0">
      <w:start w:val="1"/>
      <w:numFmt w:val="decimal"/>
      <w:lvlText w:val="(%1)"/>
      <w:lvlJc w:val="left"/>
      <w:pPr>
        <w:tabs>
          <w:tab w:val="left" w:pos="0"/>
        </w:tabs>
        <w:ind w:left="0" w:firstLine="0"/>
      </w:pPr>
      <w:rPr>
        <w:rFonts w:hint="default"/>
      </w:rPr>
    </w:lvl>
  </w:abstractNum>
  <w:abstractNum w:abstractNumId="16">
    <w:nsid w:val="D5457412"/>
    <w:multiLevelType w:val="singleLevel"/>
    <w:tmpl w:val="D5457412"/>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17">
    <w:nsid w:val="DD64B743"/>
    <w:multiLevelType w:val="singleLevel"/>
    <w:tmpl w:val="DD64B743"/>
    <w:lvl w:ilvl="0" w:tentative="0">
      <w:start w:val="1"/>
      <w:numFmt w:val="decimal"/>
      <w:suff w:val="nothing"/>
      <w:lvlText w:val="5.7.%1 "/>
      <w:lvlJc w:val="left"/>
      <w:pPr>
        <w:tabs>
          <w:tab w:val="left" w:pos="0"/>
        </w:tabs>
        <w:ind w:left="0" w:firstLine="0"/>
      </w:pPr>
      <w:rPr>
        <w:rFonts w:hint="default" w:ascii="宋体" w:hAnsi="宋体" w:eastAsia="宋体" w:cs="宋体"/>
      </w:rPr>
    </w:lvl>
  </w:abstractNum>
  <w:abstractNum w:abstractNumId="18">
    <w:nsid w:val="DFB4557C"/>
    <w:multiLevelType w:val="singleLevel"/>
    <w:tmpl w:val="DFB4557C"/>
    <w:lvl w:ilvl="0" w:tentative="0">
      <w:start w:val="1"/>
      <w:numFmt w:val="decimal"/>
      <w:suff w:val="nothing"/>
      <w:lvlText w:val="6.3.%1 "/>
      <w:lvlJc w:val="left"/>
      <w:pPr>
        <w:tabs>
          <w:tab w:val="left" w:pos="0"/>
        </w:tabs>
        <w:ind w:left="0" w:firstLine="0"/>
      </w:pPr>
      <w:rPr>
        <w:rFonts w:hint="default" w:ascii="宋体" w:hAnsi="宋体" w:eastAsia="宋体" w:cs="宋体"/>
      </w:rPr>
    </w:lvl>
  </w:abstractNum>
  <w:abstractNum w:abstractNumId="19">
    <w:nsid w:val="DFBF39C5"/>
    <w:multiLevelType w:val="singleLevel"/>
    <w:tmpl w:val="DFBF39C5"/>
    <w:lvl w:ilvl="0" w:tentative="0">
      <w:start w:val="1"/>
      <w:numFmt w:val="decimal"/>
      <w:suff w:val="nothing"/>
      <w:lvlText w:val="6.%1 "/>
      <w:lvlJc w:val="left"/>
      <w:pPr>
        <w:tabs>
          <w:tab w:val="left" w:pos="0"/>
        </w:tabs>
        <w:ind w:left="0" w:firstLine="0"/>
      </w:pPr>
      <w:rPr>
        <w:rFonts w:hint="default" w:ascii="宋体" w:hAnsi="宋体" w:eastAsia="宋体" w:cs="宋体"/>
      </w:rPr>
    </w:lvl>
  </w:abstractNum>
  <w:abstractNum w:abstractNumId="20">
    <w:nsid w:val="E5E20103"/>
    <w:multiLevelType w:val="singleLevel"/>
    <w:tmpl w:val="E5E20103"/>
    <w:lvl w:ilvl="0" w:tentative="0">
      <w:start w:val="1"/>
      <w:numFmt w:val="decimal"/>
      <w:suff w:val="nothing"/>
      <w:lvlText w:val="4.8.%1 "/>
      <w:lvlJc w:val="left"/>
      <w:pPr>
        <w:tabs>
          <w:tab w:val="left" w:pos="0"/>
        </w:tabs>
        <w:ind w:left="0" w:firstLine="0"/>
      </w:pPr>
      <w:rPr>
        <w:rFonts w:hint="default" w:ascii="宋体" w:hAnsi="宋体" w:eastAsia="宋体" w:cs="宋体"/>
      </w:rPr>
    </w:lvl>
  </w:abstractNum>
  <w:abstractNum w:abstractNumId="21">
    <w:nsid w:val="EF9E2025"/>
    <w:multiLevelType w:val="singleLevel"/>
    <w:tmpl w:val="EF9E2025"/>
    <w:lvl w:ilvl="0" w:tentative="0">
      <w:start w:val="2"/>
      <w:numFmt w:val="decimal"/>
      <w:suff w:val="nothing"/>
      <w:lvlText w:val="%1、"/>
      <w:lvlJc w:val="left"/>
    </w:lvl>
  </w:abstractNum>
  <w:abstractNum w:abstractNumId="22">
    <w:nsid w:val="F1289595"/>
    <w:multiLevelType w:val="singleLevel"/>
    <w:tmpl w:val="F1289595"/>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23">
    <w:nsid w:val="F3A80055"/>
    <w:multiLevelType w:val="singleLevel"/>
    <w:tmpl w:val="F3A80055"/>
    <w:lvl w:ilvl="0" w:tentative="0">
      <w:start w:val="1"/>
      <w:numFmt w:val="decimal"/>
      <w:suff w:val="nothing"/>
      <w:lvlText w:val="4.7.%1 "/>
      <w:lvlJc w:val="left"/>
      <w:pPr>
        <w:tabs>
          <w:tab w:val="left" w:pos="0"/>
        </w:tabs>
        <w:ind w:left="0" w:firstLine="0"/>
      </w:pPr>
      <w:rPr>
        <w:rFonts w:hint="default" w:ascii="宋体" w:hAnsi="宋体" w:eastAsia="宋体" w:cs="宋体"/>
      </w:rPr>
    </w:lvl>
  </w:abstractNum>
  <w:abstractNum w:abstractNumId="24">
    <w:nsid w:val="F7B3F048"/>
    <w:multiLevelType w:val="singleLevel"/>
    <w:tmpl w:val="F7B3F048"/>
    <w:lvl w:ilvl="0" w:tentative="0">
      <w:start w:val="1"/>
      <w:numFmt w:val="decimal"/>
      <w:suff w:val="nothing"/>
      <w:lvlText w:val="4.6.2.%1 "/>
      <w:lvlJc w:val="left"/>
      <w:pPr>
        <w:tabs>
          <w:tab w:val="left" w:pos="0"/>
        </w:tabs>
        <w:ind w:left="0" w:firstLine="0"/>
      </w:pPr>
      <w:rPr>
        <w:rFonts w:hint="default" w:ascii="宋体" w:hAnsi="宋体" w:eastAsia="宋体" w:cs="宋体"/>
      </w:rPr>
    </w:lvl>
  </w:abstractNum>
  <w:abstractNum w:abstractNumId="25">
    <w:nsid w:val="F8D8431D"/>
    <w:multiLevelType w:val="singleLevel"/>
    <w:tmpl w:val="F8D8431D"/>
    <w:lvl w:ilvl="0" w:tentative="0">
      <w:start w:val="1"/>
      <w:numFmt w:val="decimal"/>
      <w:suff w:val="nothing"/>
      <w:lvlText w:val="8.%1 "/>
      <w:lvlJc w:val="left"/>
      <w:pPr>
        <w:tabs>
          <w:tab w:val="left" w:pos="0"/>
        </w:tabs>
        <w:ind w:left="0" w:firstLine="0"/>
      </w:pPr>
      <w:rPr>
        <w:rFonts w:hint="default" w:ascii="宋体" w:hAnsi="宋体" w:eastAsia="宋体" w:cs="宋体"/>
      </w:rPr>
    </w:lvl>
  </w:abstractNum>
  <w:abstractNum w:abstractNumId="26">
    <w:nsid w:val="0AD48E78"/>
    <w:multiLevelType w:val="singleLevel"/>
    <w:tmpl w:val="0AD48E78"/>
    <w:lvl w:ilvl="0" w:tentative="0">
      <w:start w:val="1"/>
      <w:numFmt w:val="decimal"/>
      <w:suff w:val="nothing"/>
      <w:lvlText w:val="6.2.%1 "/>
      <w:lvlJc w:val="left"/>
      <w:pPr>
        <w:tabs>
          <w:tab w:val="left" w:pos="0"/>
        </w:tabs>
        <w:ind w:left="0" w:firstLine="0"/>
      </w:pPr>
      <w:rPr>
        <w:rFonts w:hint="default" w:ascii="宋体" w:hAnsi="宋体" w:eastAsia="宋体" w:cs="宋体"/>
      </w:rPr>
    </w:lvl>
  </w:abstractNum>
  <w:abstractNum w:abstractNumId="27">
    <w:nsid w:val="10137E0D"/>
    <w:multiLevelType w:val="singleLevel"/>
    <w:tmpl w:val="10137E0D"/>
    <w:lvl w:ilvl="0" w:tentative="0">
      <w:start w:val="1"/>
      <w:numFmt w:val="decimal"/>
      <w:suff w:val="nothing"/>
      <w:lvlText w:val="4.1.%1 "/>
      <w:lvlJc w:val="left"/>
      <w:pPr>
        <w:tabs>
          <w:tab w:val="left" w:pos="0"/>
        </w:tabs>
        <w:ind w:left="0" w:firstLine="0"/>
      </w:pPr>
      <w:rPr>
        <w:rFonts w:hint="default" w:ascii="宋体" w:hAnsi="宋体" w:eastAsia="宋体" w:cs="宋体"/>
      </w:rPr>
    </w:lvl>
  </w:abstractNum>
  <w:abstractNum w:abstractNumId="28">
    <w:nsid w:val="103E603E"/>
    <w:multiLevelType w:val="singleLevel"/>
    <w:tmpl w:val="103E603E"/>
    <w:lvl w:ilvl="0" w:tentative="0">
      <w:start w:val="5"/>
      <w:numFmt w:val="chineseCounting"/>
      <w:suff w:val="nothing"/>
      <w:lvlText w:val="%1、"/>
      <w:lvlJc w:val="left"/>
      <w:rPr>
        <w:rFonts w:hint="eastAsia"/>
      </w:rPr>
    </w:lvl>
  </w:abstractNum>
  <w:abstractNum w:abstractNumId="29">
    <w:nsid w:val="1102924A"/>
    <w:multiLevelType w:val="singleLevel"/>
    <w:tmpl w:val="1102924A"/>
    <w:lvl w:ilvl="0" w:tentative="0">
      <w:start w:val="1"/>
      <w:numFmt w:val="decimal"/>
      <w:suff w:val="nothing"/>
      <w:lvlText w:val="%1．"/>
      <w:lvlJc w:val="left"/>
      <w:pPr>
        <w:ind w:left="0" w:firstLine="400"/>
      </w:pPr>
      <w:rPr>
        <w:rFonts w:hint="default"/>
      </w:rPr>
    </w:lvl>
  </w:abstractNum>
  <w:abstractNum w:abstractNumId="30">
    <w:nsid w:val="1AA396A2"/>
    <w:multiLevelType w:val="singleLevel"/>
    <w:tmpl w:val="1AA396A2"/>
    <w:lvl w:ilvl="0" w:tentative="0">
      <w:start w:val="1"/>
      <w:numFmt w:val="decimal"/>
      <w:suff w:val="nothing"/>
      <w:lvlText w:val="%1．"/>
      <w:lvlJc w:val="left"/>
      <w:pPr>
        <w:ind w:left="0" w:firstLine="400"/>
      </w:pPr>
      <w:rPr>
        <w:rFonts w:hint="default"/>
      </w:rPr>
    </w:lvl>
  </w:abstractNum>
  <w:abstractNum w:abstractNumId="31">
    <w:nsid w:val="1E8A1EC5"/>
    <w:multiLevelType w:val="singleLevel"/>
    <w:tmpl w:val="1E8A1EC5"/>
    <w:lvl w:ilvl="0" w:tentative="0">
      <w:start w:val="1"/>
      <w:numFmt w:val="decimal"/>
      <w:suff w:val="nothing"/>
      <w:lvlText w:val="%1、"/>
      <w:lvlJc w:val="left"/>
      <w:pPr>
        <w:tabs>
          <w:tab w:val="left" w:pos="0"/>
        </w:tabs>
        <w:ind w:left="0" w:firstLine="0"/>
      </w:pPr>
      <w:rPr>
        <w:rFonts w:hint="default"/>
      </w:rPr>
    </w:lvl>
  </w:abstractNum>
  <w:abstractNum w:abstractNumId="32">
    <w:nsid w:val="20963E0E"/>
    <w:multiLevelType w:val="singleLevel"/>
    <w:tmpl w:val="20963E0E"/>
    <w:lvl w:ilvl="0" w:tentative="0">
      <w:start w:val="1"/>
      <w:numFmt w:val="decimal"/>
      <w:suff w:val="nothing"/>
      <w:lvlText w:val="%1、"/>
      <w:lvlJc w:val="left"/>
      <w:pPr>
        <w:ind w:left="0" w:firstLine="397"/>
      </w:pPr>
      <w:rPr>
        <w:rFonts w:hint="default"/>
      </w:rPr>
    </w:lvl>
  </w:abstractNum>
  <w:abstractNum w:abstractNumId="33">
    <w:nsid w:val="255A38A3"/>
    <w:multiLevelType w:val="singleLevel"/>
    <w:tmpl w:val="255A38A3"/>
    <w:lvl w:ilvl="0" w:tentative="0">
      <w:start w:val="1"/>
      <w:numFmt w:val="decimal"/>
      <w:suff w:val="nothing"/>
      <w:lvlText w:val="6.%1 "/>
      <w:lvlJc w:val="left"/>
      <w:pPr>
        <w:tabs>
          <w:tab w:val="left" w:pos="0"/>
        </w:tabs>
        <w:ind w:left="0" w:firstLine="0"/>
      </w:pPr>
      <w:rPr>
        <w:rFonts w:hint="default" w:ascii="宋体" w:hAnsi="宋体" w:eastAsia="宋体" w:cs="宋体"/>
      </w:rPr>
    </w:lvl>
  </w:abstractNum>
  <w:abstractNum w:abstractNumId="34">
    <w:nsid w:val="2B6AC72D"/>
    <w:multiLevelType w:val="singleLevel"/>
    <w:tmpl w:val="2B6AC72D"/>
    <w:lvl w:ilvl="0" w:tentative="0">
      <w:start w:val="1"/>
      <w:numFmt w:val="decimal"/>
      <w:suff w:val="nothing"/>
      <w:lvlText w:val="3.%1 "/>
      <w:lvlJc w:val="left"/>
      <w:pPr>
        <w:tabs>
          <w:tab w:val="left" w:pos="0"/>
        </w:tabs>
        <w:ind w:left="0" w:firstLine="0"/>
      </w:pPr>
      <w:rPr>
        <w:rFonts w:hint="default" w:ascii="宋体" w:hAnsi="宋体" w:eastAsia="宋体" w:cs="宋体"/>
      </w:rPr>
    </w:lvl>
  </w:abstractNum>
  <w:abstractNum w:abstractNumId="35">
    <w:nsid w:val="2C73C765"/>
    <w:multiLevelType w:val="singleLevel"/>
    <w:tmpl w:val="2C73C765"/>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36">
    <w:nsid w:val="2EA01BD1"/>
    <w:multiLevelType w:val="singleLevel"/>
    <w:tmpl w:val="2EA01BD1"/>
    <w:lvl w:ilvl="0" w:tentative="0">
      <w:start w:val="1"/>
      <w:numFmt w:val="decimal"/>
      <w:suff w:val="nothing"/>
      <w:lvlText w:val="5.4.%1 "/>
      <w:lvlJc w:val="left"/>
      <w:pPr>
        <w:tabs>
          <w:tab w:val="left" w:pos="0"/>
        </w:tabs>
        <w:ind w:left="0" w:firstLine="0"/>
      </w:pPr>
      <w:rPr>
        <w:rFonts w:hint="default" w:ascii="宋体" w:hAnsi="宋体" w:eastAsia="宋体" w:cs="宋体"/>
      </w:rPr>
    </w:lvl>
  </w:abstractNum>
  <w:abstractNum w:abstractNumId="37">
    <w:nsid w:val="31F5F302"/>
    <w:multiLevelType w:val="singleLevel"/>
    <w:tmpl w:val="31F5F302"/>
    <w:lvl w:ilvl="0" w:tentative="0">
      <w:start w:val="1"/>
      <w:numFmt w:val="decimal"/>
      <w:suff w:val="nothing"/>
      <w:lvlText w:val="4.6.%1 "/>
      <w:lvlJc w:val="left"/>
      <w:pPr>
        <w:tabs>
          <w:tab w:val="left" w:pos="0"/>
        </w:tabs>
        <w:ind w:left="0" w:firstLine="0"/>
      </w:pPr>
      <w:rPr>
        <w:rFonts w:hint="default" w:ascii="宋体" w:hAnsi="宋体" w:eastAsia="宋体" w:cs="宋体"/>
      </w:rPr>
    </w:lvl>
  </w:abstractNum>
  <w:abstractNum w:abstractNumId="38">
    <w:nsid w:val="32B01A3A"/>
    <w:multiLevelType w:val="singleLevel"/>
    <w:tmpl w:val="32B01A3A"/>
    <w:lvl w:ilvl="0" w:tentative="0">
      <w:start w:val="1"/>
      <w:numFmt w:val="decimal"/>
      <w:suff w:val="nothing"/>
      <w:lvlText w:val="5.9.%1 "/>
      <w:lvlJc w:val="left"/>
      <w:pPr>
        <w:tabs>
          <w:tab w:val="left" w:pos="0"/>
        </w:tabs>
        <w:ind w:left="0" w:firstLine="0"/>
      </w:pPr>
      <w:rPr>
        <w:rFonts w:hint="default" w:ascii="宋体" w:hAnsi="宋体" w:eastAsia="宋体" w:cs="宋体"/>
      </w:rPr>
    </w:lvl>
  </w:abstractNum>
  <w:abstractNum w:abstractNumId="39">
    <w:nsid w:val="392E1B95"/>
    <w:multiLevelType w:val="singleLevel"/>
    <w:tmpl w:val="392E1B95"/>
    <w:lvl w:ilvl="0" w:tentative="0">
      <w:start w:val="1"/>
      <w:numFmt w:val="decimal"/>
      <w:suff w:val="nothing"/>
      <w:lvlText w:val="%1 "/>
      <w:lvlJc w:val="left"/>
      <w:pPr>
        <w:ind w:left="0" w:firstLine="0"/>
      </w:pPr>
      <w:rPr>
        <w:rFonts w:hint="default"/>
      </w:rPr>
    </w:lvl>
  </w:abstractNum>
  <w:abstractNum w:abstractNumId="40">
    <w:nsid w:val="3B1C529F"/>
    <w:multiLevelType w:val="singleLevel"/>
    <w:tmpl w:val="3B1C529F"/>
    <w:lvl w:ilvl="0" w:tentative="0">
      <w:start w:val="1"/>
      <w:numFmt w:val="decimal"/>
      <w:suff w:val="nothing"/>
      <w:lvlText w:val="6.3.%1 "/>
      <w:lvlJc w:val="left"/>
      <w:pPr>
        <w:tabs>
          <w:tab w:val="left" w:pos="0"/>
        </w:tabs>
        <w:ind w:left="0" w:firstLine="0"/>
      </w:pPr>
      <w:rPr>
        <w:rFonts w:hint="default" w:ascii="宋体" w:hAnsi="宋体" w:eastAsia="宋体" w:cs="宋体"/>
      </w:rPr>
    </w:lvl>
  </w:abstractNum>
  <w:abstractNum w:abstractNumId="41">
    <w:nsid w:val="3C05B837"/>
    <w:multiLevelType w:val="singleLevel"/>
    <w:tmpl w:val="3C05B837"/>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42">
    <w:nsid w:val="40CE62B9"/>
    <w:multiLevelType w:val="singleLevel"/>
    <w:tmpl w:val="40CE62B9"/>
    <w:lvl w:ilvl="0" w:tentative="0">
      <w:start w:val="1"/>
      <w:numFmt w:val="decimal"/>
      <w:suff w:val="nothing"/>
      <w:lvlText w:val="4.2.%1 "/>
      <w:lvlJc w:val="left"/>
      <w:pPr>
        <w:tabs>
          <w:tab w:val="left" w:pos="0"/>
        </w:tabs>
        <w:ind w:left="0" w:firstLine="0"/>
      </w:pPr>
      <w:rPr>
        <w:rFonts w:hint="default" w:ascii="宋体" w:hAnsi="宋体" w:eastAsia="宋体" w:cs="宋体"/>
      </w:rPr>
    </w:lvl>
  </w:abstractNum>
  <w:abstractNum w:abstractNumId="43">
    <w:nsid w:val="420D3CF8"/>
    <w:multiLevelType w:val="singleLevel"/>
    <w:tmpl w:val="420D3CF8"/>
    <w:lvl w:ilvl="0" w:tentative="0">
      <w:start w:val="1"/>
      <w:numFmt w:val="decimal"/>
      <w:suff w:val="nothing"/>
      <w:lvlText w:val="%1、"/>
      <w:lvlJc w:val="left"/>
      <w:pPr>
        <w:ind w:left="0" w:firstLine="397"/>
      </w:pPr>
      <w:rPr>
        <w:rFonts w:hint="default"/>
      </w:rPr>
    </w:lvl>
  </w:abstractNum>
  <w:abstractNum w:abstractNumId="44">
    <w:nsid w:val="4C9F85FC"/>
    <w:multiLevelType w:val="singleLevel"/>
    <w:tmpl w:val="4C9F85FC"/>
    <w:lvl w:ilvl="0" w:tentative="0">
      <w:start w:val="1"/>
      <w:numFmt w:val="decimal"/>
      <w:suff w:val="nothing"/>
      <w:lvlText w:val="%1 "/>
      <w:lvlJc w:val="left"/>
      <w:pPr>
        <w:tabs>
          <w:tab w:val="left" w:pos="0"/>
        </w:tabs>
        <w:ind w:left="0" w:firstLine="0"/>
      </w:pPr>
      <w:rPr>
        <w:rFonts w:hint="default" w:ascii="宋体" w:hAnsi="宋体" w:eastAsia="宋体" w:cs="宋体"/>
      </w:rPr>
    </w:lvl>
  </w:abstractNum>
  <w:abstractNum w:abstractNumId="45">
    <w:nsid w:val="4DF4503F"/>
    <w:multiLevelType w:val="singleLevel"/>
    <w:tmpl w:val="4DF4503F"/>
    <w:lvl w:ilvl="0" w:tentative="0">
      <w:start w:val="1"/>
      <w:numFmt w:val="decimal"/>
      <w:suff w:val="nothing"/>
      <w:lvlText w:val="9.%1 "/>
      <w:lvlJc w:val="left"/>
      <w:pPr>
        <w:tabs>
          <w:tab w:val="left" w:pos="0"/>
        </w:tabs>
        <w:ind w:left="0" w:firstLine="0"/>
      </w:pPr>
      <w:rPr>
        <w:rFonts w:hint="default" w:ascii="宋体" w:hAnsi="宋体" w:eastAsia="宋体" w:cs="宋体"/>
      </w:rPr>
    </w:lvl>
  </w:abstractNum>
  <w:abstractNum w:abstractNumId="46">
    <w:nsid w:val="50399AE6"/>
    <w:multiLevelType w:val="singleLevel"/>
    <w:tmpl w:val="50399AE6"/>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47">
    <w:nsid w:val="55B07D18"/>
    <w:multiLevelType w:val="singleLevel"/>
    <w:tmpl w:val="55B07D18"/>
    <w:lvl w:ilvl="0" w:tentative="0">
      <w:start w:val="1"/>
      <w:numFmt w:val="decimal"/>
      <w:suff w:val="nothing"/>
      <w:lvlText w:val="%1 "/>
      <w:lvlJc w:val="left"/>
      <w:pPr>
        <w:tabs>
          <w:tab w:val="left" w:pos="0"/>
        </w:tabs>
        <w:ind w:left="0" w:firstLine="0"/>
      </w:pPr>
      <w:rPr>
        <w:rFonts w:hint="default" w:ascii="宋体" w:hAnsi="宋体" w:eastAsia="宋体" w:cs="宋体"/>
      </w:rPr>
    </w:lvl>
  </w:abstractNum>
  <w:abstractNum w:abstractNumId="48">
    <w:nsid w:val="5E7873D2"/>
    <w:multiLevelType w:val="singleLevel"/>
    <w:tmpl w:val="5E7873D2"/>
    <w:lvl w:ilvl="0" w:tentative="0">
      <w:start w:val="1"/>
      <w:numFmt w:val="decimal"/>
      <w:suff w:val="nothing"/>
      <w:lvlText w:val="5.7.%1 "/>
      <w:lvlJc w:val="left"/>
      <w:pPr>
        <w:tabs>
          <w:tab w:val="left" w:pos="0"/>
        </w:tabs>
        <w:ind w:left="0" w:firstLine="0"/>
      </w:pPr>
      <w:rPr>
        <w:rFonts w:hint="default" w:ascii="宋体" w:hAnsi="宋体" w:eastAsia="宋体" w:cs="宋体"/>
      </w:rPr>
    </w:lvl>
  </w:abstractNum>
  <w:abstractNum w:abstractNumId="49">
    <w:nsid w:val="60AB8796"/>
    <w:multiLevelType w:val="singleLevel"/>
    <w:tmpl w:val="60AB8796"/>
    <w:lvl w:ilvl="0" w:tentative="0">
      <w:start w:val="1"/>
      <w:numFmt w:val="decimal"/>
      <w:suff w:val="nothing"/>
      <w:lvlText w:val="3.%1 "/>
      <w:lvlJc w:val="left"/>
      <w:pPr>
        <w:tabs>
          <w:tab w:val="left" w:pos="0"/>
        </w:tabs>
        <w:ind w:left="0" w:firstLine="0"/>
      </w:pPr>
      <w:rPr>
        <w:rFonts w:hint="default" w:ascii="宋体" w:hAnsi="宋体" w:eastAsia="宋体" w:cs="宋体"/>
      </w:rPr>
    </w:lvl>
  </w:abstractNum>
  <w:abstractNum w:abstractNumId="50">
    <w:nsid w:val="64A1858E"/>
    <w:multiLevelType w:val="singleLevel"/>
    <w:tmpl w:val="64A1858E"/>
    <w:lvl w:ilvl="0" w:tentative="0">
      <w:start w:val="1"/>
      <w:numFmt w:val="decimal"/>
      <w:suff w:val="nothing"/>
      <w:lvlText w:val="4.4.%1 "/>
      <w:lvlJc w:val="left"/>
      <w:pPr>
        <w:tabs>
          <w:tab w:val="left" w:pos="0"/>
        </w:tabs>
        <w:ind w:left="0" w:firstLine="0"/>
      </w:pPr>
      <w:rPr>
        <w:rFonts w:hint="default" w:ascii="宋体" w:hAnsi="宋体" w:eastAsia="宋体" w:cs="宋体"/>
      </w:rPr>
    </w:lvl>
  </w:abstractNum>
  <w:abstractNum w:abstractNumId="51">
    <w:nsid w:val="67963B9F"/>
    <w:multiLevelType w:val="singleLevel"/>
    <w:tmpl w:val="67963B9F"/>
    <w:lvl w:ilvl="0" w:tentative="0">
      <w:start w:val="1"/>
      <w:numFmt w:val="decimal"/>
      <w:suff w:val="nothing"/>
      <w:lvlText w:val="5.7.2.%1 "/>
      <w:lvlJc w:val="left"/>
      <w:pPr>
        <w:tabs>
          <w:tab w:val="left" w:pos="0"/>
        </w:tabs>
        <w:ind w:left="0" w:firstLine="0"/>
      </w:pPr>
      <w:rPr>
        <w:rFonts w:hint="default" w:ascii="宋体" w:hAnsi="宋体" w:eastAsia="宋体" w:cs="宋体"/>
      </w:rPr>
    </w:lvl>
  </w:abstractNum>
  <w:abstractNum w:abstractNumId="52">
    <w:nsid w:val="6C098B1E"/>
    <w:multiLevelType w:val="singleLevel"/>
    <w:tmpl w:val="6C098B1E"/>
    <w:lvl w:ilvl="0" w:tentative="0">
      <w:start w:val="1"/>
      <w:numFmt w:val="decimal"/>
      <w:suff w:val="nothing"/>
      <w:lvlText w:val="5.8.%1 "/>
      <w:lvlJc w:val="left"/>
      <w:pPr>
        <w:tabs>
          <w:tab w:val="left" w:pos="0"/>
        </w:tabs>
        <w:ind w:left="0" w:firstLine="0"/>
      </w:pPr>
      <w:rPr>
        <w:rFonts w:hint="default" w:ascii="宋体" w:hAnsi="宋体" w:eastAsia="宋体" w:cs="宋体"/>
      </w:rPr>
    </w:lvl>
  </w:abstractNum>
  <w:abstractNum w:abstractNumId="53">
    <w:nsid w:val="734D4C58"/>
    <w:multiLevelType w:val="singleLevel"/>
    <w:tmpl w:val="734D4C58"/>
    <w:lvl w:ilvl="0" w:tentative="0">
      <w:start w:val="1"/>
      <w:numFmt w:val="decimal"/>
      <w:suff w:val="nothing"/>
      <w:lvlText w:val="4.3.%1 "/>
      <w:lvlJc w:val="left"/>
      <w:pPr>
        <w:tabs>
          <w:tab w:val="left" w:pos="0"/>
        </w:tabs>
        <w:ind w:left="0" w:firstLine="0"/>
      </w:pPr>
      <w:rPr>
        <w:rFonts w:hint="default" w:ascii="宋体" w:hAnsi="宋体" w:eastAsia="宋体" w:cs="宋体"/>
      </w:rPr>
    </w:lvl>
  </w:abstractNum>
  <w:abstractNum w:abstractNumId="54">
    <w:nsid w:val="76D6A07E"/>
    <w:multiLevelType w:val="singleLevel"/>
    <w:tmpl w:val="76D6A07E"/>
    <w:lvl w:ilvl="0" w:tentative="0">
      <w:start w:val="2"/>
      <w:numFmt w:val="chineseCounting"/>
      <w:suff w:val="nothing"/>
      <w:lvlText w:val="%1、"/>
      <w:lvlJc w:val="left"/>
      <w:rPr>
        <w:rFonts w:hint="eastAsia"/>
      </w:rPr>
    </w:lvl>
  </w:abstractNum>
  <w:abstractNum w:abstractNumId="55">
    <w:nsid w:val="7A013870"/>
    <w:multiLevelType w:val="singleLevel"/>
    <w:tmpl w:val="7A013870"/>
    <w:lvl w:ilvl="0" w:tentative="0">
      <w:start w:val="1"/>
      <w:numFmt w:val="decimal"/>
      <w:suff w:val="nothing"/>
      <w:lvlText w:val="7.%1 "/>
      <w:lvlJc w:val="left"/>
      <w:pPr>
        <w:tabs>
          <w:tab w:val="left" w:pos="0"/>
        </w:tabs>
        <w:ind w:left="0" w:firstLine="0"/>
      </w:pPr>
      <w:rPr>
        <w:rFonts w:hint="default" w:ascii="宋体" w:hAnsi="宋体" w:eastAsia="宋体" w:cs="宋体"/>
      </w:rPr>
    </w:lvl>
  </w:abstractNum>
  <w:abstractNum w:abstractNumId="56">
    <w:nsid w:val="7E0B4BB5"/>
    <w:multiLevelType w:val="singleLevel"/>
    <w:tmpl w:val="7E0B4BB5"/>
    <w:lvl w:ilvl="0" w:tentative="0">
      <w:start w:val="1"/>
      <w:numFmt w:val="decimal"/>
      <w:suff w:val="nothing"/>
      <w:lvlText w:val="1.%1 "/>
      <w:lvlJc w:val="left"/>
      <w:pPr>
        <w:ind w:left="0" w:firstLine="0"/>
      </w:pPr>
      <w:rPr>
        <w:rFonts w:hint="default"/>
      </w:rPr>
    </w:lvl>
  </w:abstractNum>
  <w:num w:numId="1">
    <w:abstractNumId w:val="47"/>
  </w:num>
  <w:num w:numId="2">
    <w:abstractNumId w:val="56"/>
  </w:num>
  <w:num w:numId="3">
    <w:abstractNumId w:val="12"/>
  </w:num>
  <w:num w:numId="4">
    <w:abstractNumId w:val="6"/>
  </w:num>
  <w:num w:numId="5">
    <w:abstractNumId w:val="22"/>
  </w:num>
  <w:num w:numId="6">
    <w:abstractNumId w:val="11"/>
  </w:num>
  <w:num w:numId="7">
    <w:abstractNumId w:val="15"/>
  </w:num>
  <w:num w:numId="8">
    <w:abstractNumId w:val="44"/>
  </w:num>
  <w:num w:numId="9">
    <w:abstractNumId w:val="16"/>
  </w:num>
  <w:num w:numId="10">
    <w:abstractNumId w:val="13"/>
  </w:num>
  <w:num w:numId="11">
    <w:abstractNumId w:val="34"/>
  </w:num>
  <w:num w:numId="12">
    <w:abstractNumId w:val="41"/>
  </w:num>
  <w:num w:numId="13">
    <w:abstractNumId w:val="35"/>
  </w:num>
  <w:num w:numId="14">
    <w:abstractNumId w:val="8"/>
  </w:num>
  <w:num w:numId="15">
    <w:abstractNumId w:val="36"/>
  </w:num>
  <w:num w:numId="16">
    <w:abstractNumId w:val="4"/>
  </w:num>
  <w:num w:numId="17">
    <w:abstractNumId w:val="17"/>
  </w:num>
  <w:num w:numId="18">
    <w:abstractNumId w:val="51"/>
  </w:num>
  <w:num w:numId="19">
    <w:abstractNumId w:val="19"/>
  </w:num>
  <w:num w:numId="20">
    <w:abstractNumId w:val="40"/>
  </w:num>
  <w:num w:numId="21">
    <w:abstractNumId w:val="39"/>
  </w:num>
  <w:num w:numId="22">
    <w:abstractNumId w:val="46"/>
  </w:num>
  <w:num w:numId="23">
    <w:abstractNumId w:val="49"/>
  </w:num>
  <w:num w:numId="24">
    <w:abstractNumId w:val="3"/>
  </w:num>
  <w:num w:numId="25">
    <w:abstractNumId w:val="27"/>
  </w:num>
  <w:num w:numId="26">
    <w:abstractNumId w:val="42"/>
  </w:num>
  <w:num w:numId="27">
    <w:abstractNumId w:val="53"/>
  </w:num>
  <w:num w:numId="28">
    <w:abstractNumId w:val="50"/>
  </w:num>
  <w:num w:numId="29">
    <w:abstractNumId w:val="0"/>
  </w:num>
  <w:num w:numId="30">
    <w:abstractNumId w:val="37"/>
  </w:num>
  <w:num w:numId="31">
    <w:abstractNumId w:val="24"/>
  </w:num>
  <w:num w:numId="32">
    <w:abstractNumId w:val="23"/>
  </w:num>
  <w:num w:numId="33">
    <w:abstractNumId w:val="20"/>
  </w:num>
  <w:num w:numId="34">
    <w:abstractNumId w:val="10"/>
  </w:num>
  <w:num w:numId="35">
    <w:abstractNumId w:val="48"/>
  </w:num>
  <w:num w:numId="36">
    <w:abstractNumId w:val="52"/>
  </w:num>
  <w:num w:numId="37">
    <w:abstractNumId w:val="38"/>
  </w:num>
  <w:num w:numId="38">
    <w:abstractNumId w:val="33"/>
  </w:num>
  <w:num w:numId="39">
    <w:abstractNumId w:val="5"/>
  </w:num>
  <w:num w:numId="40">
    <w:abstractNumId w:val="26"/>
  </w:num>
  <w:num w:numId="41">
    <w:abstractNumId w:val="18"/>
  </w:num>
  <w:num w:numId="42">
    <w:abstractNumId w:val="55"/>
  </w:num>
  <w:num w:numId="43">
    <w:abstractNumId w:val="25"/>
  </w:num>
  <w:num w:numId="44">
    <w:abstractNumId w:val="45"/>
  </w:num>
  <w:num w:numId="45">
    <w:abstractNumId w:val="14"/>
  </w:num>
  <w:num w:numId="46">
    <w:abstractNumId w:val="54"/>
  </w:num>
  <w:num w:numId="47">
    <w:abstractNumId w:val="2"/>
  </w:num>
  <w:num w:numId="48">
    <w:abstractNumId w:val="31"/>
  </w:num>
  <w:num w:numId="49">
    <w:abstractNumId w:val="28"/>
  </w:num>
  <w:num w:numId="50">
    <w:abstractNumId w:val="1"/>
  </w:num>
  <w:num w:numId="51">
    <w:abstractNumId w:val="32"/>
  </w:num>
  <w:num w:numId="52">
    <w:abstractNumId w:val="43"/>
  </w:num>
  <w:num w:numId="53">
    <w:abstractNumId w:val="9"/>
  </w:num>
  <w:num w:numId="54">
    <w:abstractNumId w:val="7"/>
  </w:num>
  <w:num w:numId="55">
    <w:abstractNumId w:val="21"/>
  </w:num>
  <w:num w:numId="56">
    <w:abstractNumId w:val="29"/>
  </w:num>
  <w:num w:numId="5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8FE"/>
    <w:rsid w:val="000040FA"/>
    <w:rsid w:val="00004F39"/>
    <w:rsid w:val="000674FC"/>
    <w:rsid w:val="000901EA"/>
    <w:rsid w:val="000C78FE"/>
    <w:rsid w:val="0012461B"/>
    <w:rsid w:val="001A5AFC"/>
    <w:rsid w:val="001D64AD"/>
    <w:rsid w:val="00362AE1"/>
    <w:rsid w:val="003B64CC"/>
    <w:rsid w:val="003B7BEA"/>
    <w:rsid w:val="004225CB"/>
    <w:rsid w:val="005339E4"/>
    <w:rsid w:val="005711CA"/>
    <w:rsid w:val="005A01DB"/>
    <w:rsid w:val="0063670C"/>
    <w:rsid w:val="00697941"/>
    <w:rsid w:val="006C56F1"/>
    <w:rsid w:val="00843680"/>
    <w:rsid w:val="00876613"/>
    <w:rsid w:val="00994787"/>
    <w:rsid w:val="00A04A18"/>
    <w:rsid w:val="00A2002A"/>
    <w:rsid w:val="00AF4656"/>
    <w:rsid w:val="00D4238D"/>
    <w:rsid w:val="00D54700"/>
    <w:rsid w:val="00DB5805"/>
    <w:rsid w:val="00E227A2"/>
    <w:rsid w:val="00ED01A5"/>
    <w:rsid w:val="00EE289F"/>
    <w:rsid w:val="00F51CDE"/>
    <w:rsid w:val="00F93FBD"/>
    <w:rsid w:val="00FF3A92"/>
    <w:rsid w:val="018E7154"/>
    <w:rsid w:val="0306497E"/>
    <w:rsid w:val="05EF1AC7"/>
    <w:rsid w:val="08AB37C9"/>
    <w:rsid w:val="08CB79C6"/>
    <w:rsid w:val="090A060C"/>
    <w:rsid w:val="0C6078E3"/>
    <w:rsid w:val="10EB0ACC"/>
    <w:rsid w:val="1160098A"/>
    <w:rsid w:val="12FD6252"/>
    <w:rsid w:val="14E54D77"/>
    <w:rsid w:val="17A27930"/>
    <w:rsid w:val="18201F75"/>
    <w:rsid w:val="1ADA7EFA"/>
    <w:rsid w:val="1B2A3F92"/>
    <w:rsid w:val="1C9635BA"/>
    <w:rsid w:val="1CC135B5"/>
    <w:rsid w:val="20616389"/>
    <w:rsid w:val="2087346A"/>
    <w:rsid w:val="20A02333"/>
    <w:rsid w:val="22581097"/>
    <w:rsid w:val="255B2011"/>
    <w:rsid w:val="27BC61AA"/>
    <w:rsid w:val="294B0A50"/>
    <w:rsid w:val="295B0320"/>
    <w:rsid w:val="2AB72F73"/>
    <w:rsid w:val="2BD650A8"/>
    <w:rsid w:val="30510DCB"/>
    <w:rsid w:val="31215085"/>
    <w:rsid w:val="32A3249A"/>
    <w:rsid w:val="34AB1503"/>
    <w:rsid w:val="359D67EC"/>
    <w:rsid w:val="38A60C06"/>
    <w:rsid w:val="38D2524A"/>
    <w:rsid w:val="3B515D75"/>
    <w:rsid w:val="3B8F194F"/>
    <w:rsid w:val="3BCD61A3"/>
    <w:rsid w:val="3C157D59"/>
    <w:rsid w:val="3FE33B28"/>
    <w:rsid w:val="417A7BA9"/>
    <w:rsid w:val="42A72A99"/>
    <w:rsid w:val="46753FBB"/>
    <w:rsid w:val="4C5D5CA5"/>
    <w:rsid w:val="4EDB640C"/>
    <w:rsid w:val="4F564771"/>
    <w:rsid w:val="50A67063"/>
    <w:rsid w:val="518C7523"/>
    <w:rsid w:val="563F53FD"/>
    <w:rsid w:val="58A92F50"/>
    <w:rsid w:val="5A4878A1"/>
    <w:rsid w:val="5A68273B"/>
    <w:rsid w:val="5AC063FE"/>
    <w:rsid w:val="5EB70CA9"/>
    <w:rsid w:val="5F5E0EB7"/>
    <w:rsid w:val="60841FB7"/>
    <w:rsid w:val="62457F46"/>
    <w:rsid w:val="63542E45"/>
    <w:rsid w:val="63847660"/>
    <w:rsid w:val="63882E9D"/>
    <w:rsid w:val="63B63B30"/>
    <w:rsid w:val="64EB25CD"/>
    <w:rsid w:val="67133B25"/>
    <w:rsid w:val="67D921A3"/>
    <w:rsid w:val="68D45976"/>
    <w:rsid w:val="69B3768F"/>
    <w:rsid w:val="6A6F51E6"/>
    <w:rsid w:val="6B1019C9"/>
    <w:rsid w:val="6CCE34D1"/>
    <w:rsid w:val="6E2E0BF9"/>
    <w:rsid w:val="6ED45E67"/>
    <w:rsid w:val="6F344052"/>
    <w:rsid w:val="6FF10854"/>
    <w:rsid w:val="7148096B"/>
    <w:rsid w:val="72D867E2"/>
    <w:rsid w:val="78DD08B0"/>
    <w:rsid w:val="78E14A7F"/>
    <w:rsid w:val="7BD113EF"/>
    <w:rsid w:val="7BFC19D1"/>
    <w:rsid w:val="7CE90DC4"/>
    <w:rsid w:val="7DA54A8A"/>
    <w:rsid w:val="7E420929"/>
    <w:rsid w:val="7EA8342D"/>
    <w:rsid w:val="7EB91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qFormat="1"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8" w:lineRule="atLeast"/>
      <w:outlineLvl w:val="0"/>
    </w:pPr>
    <w:rPr>
      <w:b/>
      <w:bCs/>
      <w:kern w:val="44"/>
      <w:sz w:val="44"/>
      <w:szCs w:val="44"/>
    </w:rPr>
  </w:style>
  <w:style w:type="paragraph" w:styleId="4">
    <w:name w:val="heading 2"/>
    <w:basedOn w:val="1"/>
    <w:next w:val="1"/>
    <w:qFormat/>
    <w:uiPriority w:val="0"/>
    <w:pPr>
      <w:keepNext/>
      <w:keepLines/>
      <w:spacing w:before="260" w:after="260" w:line="416" w:lineRule="atLeast"/>
      <w:jc w:val="left"/>
      <w:outlineLvl w:val="1"/>
    </w:pPr>
    <w:rPr>
      <w:rFonts w:ascii="Arial" w:hAnsi="Arial" w:eastAsia="黑体"/>
      <w:b/>
      <w:spacing w:val="10"/>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autoSpaceDE/>
      <w:autoSpaceDN/>
      <w:adjustRightInd/>
      <w:spacing w:line="240" w:lineRule="auto"/>
      <w:textAlignment w:val="auto"/>
    </w:pPr>
    <w:rPr>
      <w:rFonts w:ascii="宋体" w:hAnsi="Courier New"/>
      <w:kern w:val="2"/>
    </w:rPr>
  </w:style>
  <w:style w:type="paragraph" w:styleId="5">
    <w:name w:val="Body Text"/>
    <w:basedOn w:val="1"/>
    <w:qFormat/>
    <w:uiPriority w:val="0"/>
    <w:pPr>
      <w:spacing w:after="120"/>
    </w:pPr>
    <w:rPr>
      <w:rFonts w:ascii="Calibri" w:hAnsi="Calibri"/>
    </w:rPr>
  </w:style>
  <w:style w:type="paragraph" w:styleId="6">
    <w:name w:val="Balloon Text"/>
    <w:basedOn w:val="1"/>
    <w:link w:val="14"/>
    <w:semiHidden/>
    <w:unhideWhenUsed/>
    <w:qFormat/>
    <w:uiPriority w:val="99"/>
    <w:rPr>
      <w:sz w:val="18"/>
      <w:szCs w:val="18"/>
    </w:rPr>
  </w:style>
  <w:style w:type="paragraph" w:styleId="7">
    <w:name w:val="footer"/>
    <w:basedOn w:val="1"/>
    <w:unhideWhenUsed/>
    <w:qFormat/>
    <w:uiPriority w:val="99"/>
    <w:pPr>
      <w:tabs>
        <w:tab w:val="center" w:pos="4153"/>
        <w:tab w:val="right" w:pos="8306"/>
      </w:tabs>
      <w:snapToGrid w:val="0"/>
      <w:jc w:val="left"/>
    </w:pPr>
    <w:rPr>
      <w:sz w:val="18"/>
    </w:rPr>
  </w:style>
  <w:style w:type="paragraph" w:styleId="8">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List Continue 2"/>
    <w:basedOn w:val="1"/>
    <w:unhideWhenUsed/>
    <w:qFormat/>
    <w:uiPriority w:val="99"/>
    <w:pPr>
      <w:spacing w:after="120"/>
      <w:ind w:left="840" w:leftChars="400"/>
    </w:p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批注框文本 Char"/>
    <w:basedOn w:val="13"/>
    <w:link w:val="6"/>
    <w:semiHidden/>
    <w:qFormat/>
    <w:uiPriority w:val="99"/>
    <w:rPr>
      <w:kern w:val="2"/>
      <w:sz w:val="18"/>
      <w:szCs w:val="18"/>
    </w:rPr>
  </w:style>
  <w:style w:type="paragraph" w:customStyle="1" w:styleId="15">
    <w:name w:val="1"/>
    <w:basedOn w:val="1"/>
    <w:next w:val="5"/>
    <w:qFormat/>
    <w:uiPriority w:val="0"/>
    <w:pPr>
      <w:spacing w:line="360" w:lineRule="exact"/>
    </w:pPr>
    <w:rPr>
      <w:rFonts w:ascii="Calibri" w:hAnsi="Calibri"/>
    </w:rPr>
  </w:style>
  <w:style w:type="paragraph" w:customStyle="1" w:styleId="16">
    <w:name w:val="标题 2 居中"/>
    <w:basedOn w:val="4"/>
    <w:qFormat/>
    <w:uiPriority w:val="0"/>
    <w:pPr>
      <w:jc w:val="center"/>
    </w:pPr>
    <w:rPr>
      <w:rFonts w:ascii="宋体" w:hAnsi="宋体"/>
    </w:rPr>
  </w:style>
  <w:style w:type="paragraph" w:styleId="17">
    <w:name w:val="List Paragraph"/>
    <w:basedOn w:val="1"/>
    <w:unhideWhenUsed/>
    <w:qFormat/>
    <w:uiPriority w:val="99"/>
    <w:pPr>
      <w:ind w:firstLine="420" w:firstLineChars="200"/>
    </w:pPr>
  </w:style>
  <w:style w:type="paragraph" w:customStyle="1" w:styleId="18">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StarOrigin</Company>
  <Pages>16</Pages>
  <Words>1566</Words>
  <Characters>8932</Characters>
  <Lines>74</Lines>
  <Paragraphs>20</Paragraphs>
  <TotalTime>10</TotalTime>
  <ScaleCrop>false</ScaleCrop>
  <LinksUpToDate>false</LinksUpToDate>
  <CharactersWithSpaces>10478</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2020-10-30T03:46:00Z</dcterms:created>
  <dc:creator>江汉林</dc:creator>
  <cp:lastModifiedBy>冰封雨心</cp:lastModifiedBy>
  <cp:lastPrinted>2021-03-30T08:43:00Z</cp:lastPrinted>
  <dcterms:modified xsi:type="dcterms:W3CDTF">2021-04-25T00:52:43Z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y fmtid="{D5CDD505-2E9C-101B-9397-08002B2CF9AE}" pid="3" name="ICV">
    <vt:lpwstr>71274F65E7754A0BA98EE2764A0CBE82</vt:lpwstr>
  </property>
</Properties>
</file>