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spacing w:line="400" w:lineRule="atLeast"/>
        <w:jc w:val="center"/>
        <w:textAlignment w:val="auto"/>
        <w:rPr>
          <w:rFonts w:eastAsia="文鼎粗行楷体简"/>
          <w:b/>
          <w:kern w:val="2"/>
          <w:sz w:val="48"/>
          <w:szCs w:val="48"/>
          <w:highlight w:val="none"/>
        </w:rPr>
      </w:pPr>
    </w:p>
    <w:p>
      <w:pPr>
        <w:kinsoku w:val="0"/>
        <w:overflowPunct w:val="0"/>
        <w:adjustRightInd/>
        <w:spacing w:line="400" w:lineRule="atLeast"/>
        <w:textAlignment w:val="auto"/>
        <w:rPr>
          <w:rFonts w:eastAsia="文鼎粗行楷体简"/>
          <w:b/>
          <w:kern w:val="2"/>
          <w:sz w:val="48"/>
          <w:szCs w:val="48"/>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厦门海发环保能源股份有限公司</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新阳热电事业部</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360" w:lineRule="auto"/>
        <w:jc w:val="center"/>
        <w:textAlignment w:val="auto"/>
        <w:rPr>
          <w:rFonts w:hint="eastAsia" w:eastAsia="文鼎粗行楷体简"/>
          <w:b/>
          <w:kern w:val="2"/>
          <w:sz w:val="44"/>
          <w:szCs w:val="44"/>
          <w:highlight w:val="none"/>
          <w:lang w:val="en-US" w:eastAsia="zh-CN"/>
        </w:rPr>
      </w:pPr>
      <w:r>
        <w:rPr>
          <w:rFonts w:hint="eastAsia" w:eastAsia="文鼎粗行楷体简"/>
          <w:b/>
          <w:kern w:val="2"/>
          <w:sz w:val="44"/>
          <w:szCs w:val="44"/>
          <w:highlight w:val="none"/>
        </w:rPr>
        <w:t>2022年厂区水量平衡测试</w:t>
      </w:r>
      <w:r>
        <w:rPr>
          <w:rFonts w:hint="eastAsia" w:eastAsia="文鼎粗行楷体简"/>
          <w:b/>
          <w:kern w:val="2"/>
          <w:sz w:val="44"/>
          <w:szCs w:val="44"/>
          <w:highlight w:val="none"/>
          <w:lang w:val="en-US" w:eastAsia="zh-CN"/>
        </w:rPr>
        <w:t>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竞争性谈判文件</w:t>
      </w: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snapToGrid w:val="0"/>
        <w:spacing w:line="440" w:lineRule="atLeast"/>
        <w:jc w:val="center"/>
        <w:textAlignment w:val="auto"/>
        <w:rPr>
          <w:rFonts w:hint="default" w:ascii="宋体" w:hAnsi="宋体" w:eastAsia="宋体" w:cs="宋体"/>
          <w:b/>
          <w:color w:val="auto"/>
          <w:kern w:val="2"/>
          <w:sz w:val="32"/>
          <w:szCs w:val="22"/>
          <w:highlight w:val="none"/>
          <w:lang w:val="en-US" w:eastAsia="zh-CN"/>
        </w:rPr>
      </w:pPr>
      <w:r>
        <w:rPr>
          <w:rFonts w:hint="eastAsia"/>
          <w:kern w:val="2"/>
          <w:sz w:val="32"/>
          <w:szCs w:val="32"/>
          <w:highlight w:val="none"/>
        </w:rPr>
        <w:t>项目编号：</w:t>
      </w:r>
      <w:r>
        <w:rPr>
          <w:rFonts w:hint="eastAsia" w:ascii="宋体" w:hAnsi="宋体" w:eastAsia="宋体" w:cs="宋体"/>
          <w:color w:val="auto"/>
          <w:kern w:val="2"/>
          <w:sz w:val="32"/>
          <w:szCs w:val="32"/>
          <w:highlight w:val="none"/>
        </w:rPr>
        <w:t>HFHN-XY202</w:t>
      </w:r>
      <w:r>
        <w:rPr>
          <w:rFonts w:hint="eastAsia" w:ascii="宋体" w:hAnsi="宋体" w:eastAsia="宋体" w:cs="宋体"/>
          <w:color w:val="auto"/>
          <w:kern w:val="2"/>
          <w:sz w:val="32"/>
          <w:szCs w:val="32"/>
          <w:highlight w:val="none"/>
          <w:lang w:val="en-US" w:eastAsia="zh-CN"/>
        </w:rPr>
        <w:t>2-</w:t>
      </w:r>
      <w:r>
        <w:rPr>
          <w:rFonts w:hint="eastAsia" w:ascii="宋体" w:hAnsi="宋体" w:cs="宋体"/>
          <w:color w:val="auto"/>
          <w:kern w:val="2"/>
          <w:sz w:val="32"/>
          <w:szCs w:val="32"/>
          <w:highlight w:val="none"/>
          <w:lang w:val="en-US" w:eastAsia="zh-CN"/>
        </w:rPr>
        <w:t>013</w:t>
      </w:r>
    </w:p>
    <w:p>
      <w:pPr>
        <w:kinsoku w:val="0"/>
        <w:overflowPunct w:val="0"/>
        <w:snapToGrid w:val="0"/>
        <w:spacing w:line="440" w:lineRule="atLeast"/>
        <w:jc w:val="center"/>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400" w:lineRule="atLeast"/>
        <w:ind w:firstLine="2249" w:firstLineChars="700"/>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0"/>
        </w:tabs>
        <w:snapToGrid w:val="0"/>
        <w:spacing w:line="400" w:lineRule="atLeast"/>
        <w:jc w:val="left"/>
        <w:textAlignment w:val="auto"/>
        <w:rPr>
          <w:rFonts w:ascii="宋体" w:hAnsi="宋体"/>
          <w:sz w:val="24"/>
          <w:szCs w:val="24"/>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620" w:lineRule="atLeast"/>
        <w:jc w:val="center"/>
        <w:textAlignment w:val="auto"/>
        <w:rPr>
          <w:rFonts w:ascii="宋体" w:hAnsi="宋体" w:cs="宋体"/>
          <w:b/>
          <w:bCs/>
          <w:kern w:val="2"/>
          <w:sz w:val="35"/>
          <w:szCs w:val="35"/>
          <w:highlight w:val="none"/>
        </w:rPr>
      </w:pPr>
      <w:r>
        <w:rPr>
          <w:rFonts w:hint="eastAsia" w:ascii="宋体" w:hAnsi="宋体" w:cs="宋体"/>
          <w:b/>
          <w:bCs/>
          <w:kern w:val="2"/>
          <w:sz w:val="35"/>
          <w:szCs w:val="35"/>
          <w:highlight w:val="none"/>
        </w:rPr>
        <w:t>厦门海发环保能源股份有限公司</w:t>
      </w:r>
    </w:p>
    <w:p>
      <w:pPr>
        <w:kinsoku w:val="0"/>
        <w:overflowPunct w:val="0"/>
        <w:adjustRightInd/>
        <w:spacing w:line="620" w:lineRule="atLeast"/>
        <w:jc w:val="center"/>
        <w:rPr>
          <w:rFonts w:ascii="宋体" w:hAnsi="宋体" w:cs="宋体"/>
          <w:bCs/>
          <w:sz w:val="29"/>
          <w:szCs w:val="29"/>
          <w:highlight w:val="none"/>
        </w:rPr>
        <w:sectPr>
          <w:footerReference r:id="rId8" w:type="first"/>
          <w:footerReference r:id="rId6" w:type="default"/>
          <w:headerReference r:id="rId5" w:type="even"/>
          <w:footerReference r:id="rId7" w:type="even"/>
          <w:pgSz w:w="11906" w:h="16838"/>
          <w:pgMar w:top="1417" w:right="1417" w:bottom="1134" w:left="1417" w:header="794" w:footer="794" w:gutter="0"/>
          <w:pgNumType w:start="1"/>
          <w:cols w:space="720" w:num="1"/>
          <w:docGrid w:linePitch="312" w:charSpace="0"/>
        </w:sectPr>
      </w:pPr>
      <w:r>
        <w:rPr>
          <w:rFonts w:hint="eastAsia" w:ascii="宋体" w:hAnsi="宋体" w:cs="宋体"/>
          <w:b/>
          <w:bCs/>
          <w:kern w:val="2"/>
          <w:sz w:val="35"/>
          <w:szCs w:val="35"/>
          <w:highlight w:val="none"/>
        </w:rPr>
        <w:t>202</w:t>
      </w:r>
      <w:r>
        <w:rPr>
          <w:rFonts w:ascii="宋体" w:hAnsi="宋体" w:cs="宋体"/>
          <w:b/>
          <w:bCs/>
          <w:kern w:val="2"/>
          <w:sz w:val="35"/>
          <w:szCs w:val="35"/>
          <w:highlight w:val="none"/>
        </w:rPr>
        <w:t>2</w:t>
      </w:r>
      <w:r>
        <w:rPr>
          <w:rFonts w:hint="eastAsia" w:ascii="宋体" w:hAnsi="宋体" w:cs="宋体"/>
          <w:b/>
          <w:bCs/>
          <w:kern w:val="2"/>
          <w:sz w:val="35"/>
          <w:szCs w:val="35"/>
          <w:highlight w:val="none"/>
        </w:rPr>
        <w:t>年</w:t>
      </w:r>
      <w:r>
        <w:rPr>
          <w:rFonts w:hint="eastAsia" w:ascii="宋体" w:hAnsi="宋体" w:cs="宋体"/>
          <w:b/>
          <w:bCs/>
          <w:kern w:val="2"/>
          <w:sz w:val="35"/>
          <w:szCs w:val="35"/>
          <w:highlight w:val="none"/>
          <w:lang w:val="en-US" w:eastAsia="zh-CN"/>
        </w:rPr>
        <w:t>7</w:t>
      </w:r>
      <w:r>
        <w:rPr>
          <w:rFonts w:hint="eastAsia" w:ascii="宋体" w:hAnsi="宋体" w:cs="宋体"/>
          <w:b/>
          <w:bCs/>
          <w:kern w:val="2"/>
          <w:sz w:val="35"/>
          <w:szCs w:val="35"/>
          <w:highlight w:val="none"/>
        </w:rPr>
        <w:t>月</w:t>
      </w:r>
    </w:p>
    <w:p>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highlight w:val="none"/>
        </w:rPr>
      </w:pPr>
      <w:bookmarkStart w:id="0" w:name="_Toc15109_WPSOffice_Level1"/>
      <w:bookmarkStart w:id="1" w:name="_Toc4629_WPSOffice_Level1"/>
      <w:bookmarkStart w:id="2" w:name="_Toc8263_WPSOffice_Level1"/>
      <w:bookmarkStart w:id="3" w:name="_Toc4413_WPSOffice_Level1"/>
      <w:bookmarkStart w:id="4" w:name="_Toc21029_WPSOffice_Level1"/>
      <w:r>
        <w:rPr>
          <w:rFonts w:hint="eastAsia" w:ascii="宋体" w:hAnsi="宋体" w:eastAsia="宋体"/>
          <w:bCs/>
          <w:sz w:val="28"/>
          <w:szCs w:val="28"/>
          <w:highlight w:val="none"/>
        </w:rPr>
        <w:t>第一部分 采购邀请书</w:t>
      </w:r>
      <w:bookmarkEnd w:id="0"/>
      <w:bookmarkEnd w:id="1"/>
      <w:bookmarkEnd w:id="2"/>
      <w:bookmarkEnd w:id="3"/>
      <w:bookmarkEnd w:id="4"/>
    </w:p>
    <w:p>
      <w:pPr>
        <w:pStyle w:val="3"/>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highlight w:val="none"/>
        </w:rPr>
      </w:pPr>
      <w:bookmarkStart w:id="5" w:name="_Toc12822_WPSOffice_Level2"/>
      <w:r>
        <w:rPr>
          <w:rFonts w:hint="eastAsia" w:ascii="宋体" w:hAnsi="宋体" w:eastAsia="宋体"/>
          <w:b w:val="0"/>
          <w:sz w:val="24"/>
          <w:szCs w:val="24"/>
          <w:highlight w:val="none"/>
        </w:rPr>
        <w:t>厦门海</w:t>
      </w:r>
      <w:r>
        <w:rPr>
          <w:rFonts w:hint="eastAsia" w:ascii="宋体" w:hAnsi="宋体" w:eastAsia="宋体"/>
          <w:b w:val="0"/>
          <w:bCs/>
          <w:sz w:val="24"/>
          <w:szCs w:val="24"/>
          <w:highlight w:val="none"/>
        </w:rPr>
        <w:t>发环保能源股份有限公司对新阳热电事业部</w:t>
      </w:r>
      <w:r>
        <w:rPr>
          <w:rFonts w:hint="eastAsia" w:ascii="宋体" w:hAnsi="宋体" w:eastAsia="宋体"/>
          <w:b w:val="0"/>
          <w:bCs/>
          <w:sz w:val="24"/>
          <w:szCs w:val="24"/>
          <w:highlight w:val="none"/>
          <w:u w:val="single"/>
        </w:rPr>
        <w:t xml:space="preserve"> </w:t>
      </w:r>
      <w:r>
        <w:rPr>
          <w:rFonts w:hint="eastAsia" w:ascii="宋体" w:hAnsi="宋体" w:eastAsia="宋体"/>
          <w:b w:val="0"/>
          <w:bCs/>
          <w:sz w:val="24"/>
          <w:szCs w:val="24"/>
          <w:highlight w:val="none"/>
          <w:u w:val="single"/>
          <w:lang w:val="en-US" w:eastAsia="zh-CN"/>
        </w:rPr>
        <w:t>2022年厂区</w:t>
      </w:r>
      <w:r>
        <w:rPr>
          <w:rFonts w:hint="eastAsia" w:ascii="宋体" w:hAnsi="宋体" w:eastAsia="宋体"/>
          <w:b w:val="0"/>
          <w:bCs/>
          <w:sz w:val="24"/>
          <w:szCs w:val="24"/>
          <w:highlight w:val="none"/>
          <w:u w:val="single"/>
        </w:rPr>
        <w:t xml:space="preserve">水量平衡测试项目 </w:t>
      </w:r>
      <w:r>
        <w:rPr>
          <w:rFonts w:hint="eastAsia" w:ascii="宋体" w:hAnsi="宋体" w:eastAsia="宋体"/>
          <w:b w:val="0"/>
          <w:sz w:val="24"/>
          <w:szCs w:val="24"/>
          <w:highlight w:val="none"/>
        </w:rPr>
        <w:t>进行竞争性谈判采购，欢迎具备相应资质的合格供应商参与本项目的报价。</w:t>
      </w:r>
    </w:p>
    <w:bookmarkEnd w:id="5"/>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6" w:name="_Toc8150_WPSOffice_Level2"/>
      <w:bookmarkStart w:id="7" w:name="_Toc12893_WPSOffice_Level2"/>
      <w:bookmarkStart w:id="8" w:name="_Toc14515_WPSOffice_Level2"/>
      <w:bookmarkStart w:id="9" w:name="_Toc17676_WPSOffice_Level2"/>
      <w:bookmarkStart w:id="10" w:name="_Toc15058_WPSOffice_Level2"/>
      <w:r>
        <w:rPr>
          <w:rFonts w:hint="eastAsia" w:ascii="宋体" w:hAnsi="Calibri" w:eastAsia="宋体" w:cs="宋体"/>
          <w:b/>
          <w:bCs/>
          <w:color w:val="000000"/>
          <w:kern w:val="0"/>
          <w:sz w:val="24"/>
          <w:szCs w:val="24"/>
          <w:lang w:val="en-US" w:eastAsia="zh-CN"/>
        </w:rPr>
        <w:t>项目概况</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项目名称：</w:t>
      </w:r>
      <w:r>
        <w:rPr>
          <w:rFonts w:hint="eastAsia" w:ascii="宋体" w:hAnsi="Calibri" w:cs="宋体"/>
          <w:b w:val="0"/>
          <w:bCs w:val="0"/>
          <w:color w:val="000000"/>
          <w:kern w:val="0"/>
          <w:sz w:val="24"/>
          <w:szCs w:val="24"/>
          <w:lang w:val="en-US" w:eastAsia="zh-CN"/>
        </w:rPr>
        <w:t>2022年厂区</w:t>
      </w:r>
      <w:r>
        <w:rPr>
          <w:rFonts w:hint="eastAsia" w:ascii="宋体" w:hAnsi="Calibri" w:eastAsia="宋体" w:cs="宋体"/>
          <w:b w:val="0"/>
          <w:bCs w:val="0"/>
          <w:color w:val="000000"/>
          <w:kern w:val="0"/>
          <w:sz w:val="24"/>
          <w:szCs w:val="24"/>
          <w:lang w:val="en-US" w:eastAsia="zh-CN"/>
        </w:rPr>
        <w:t>水量平衡测试项目</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项目地点：</w:t>
      </w:r>
      <w:r>
        <w:rPr>
          <w:rFonts w:hint="eastAsia" w:ascii="宋体" w:hAnsi="Calibri" w:cs="宋体"/>
          <w:b w:val="0"/>
          <w:bCs w:val="0"/>
          <w:color w:val="000000"/>
          <w:kern w:val="0"/>
          <w:sz w:val="24"/>
          <w:szCs w:val="24"/>
          <w:lang w:val="en-US" w:eastAsia="zh-CN"/>
        </w:rPr>
        <w:t>厦门海发环保能源股份有限公司新阳热电厂区</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资金来源：国有企业自筹资金</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内容：根据《厦门市城市供水节水条例》第三十五条，月用水量在三千吨以上的计划用水单位，应当每三年开展一次水量平衡测试工作，按照文件要求完成厦门海发环保能源股份有限公司厂区水量平衡测试项目</w:t>
      </w:r>
      <w:r>
        <w:rPr>
          <w:rFonts w:hint="eastAsia" w:ascii="宋体" w:hAnsi="Calibri" w:cs="宋体"/>
          <w:b w:val="0"/>
          <w:bCs w:val="0"/>
          <w:color w:val="000000"/>
          <w:kern w:val="0"/>
          <w:sz w:val="24"/>
          <w:szCs w:val="24"/>
          <w:lang w:val="en-US" w:eastAsia="zh-CN"/>
        </w:rPr>
        <w:t>。</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勘察现场，针对实际情况，更换故障水表，完成本次厂区水量平衡测试，并编写符合要求的的水量平衡测试报告。</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向市节约用水办公室提交评估申请，根据评估意见进行整改，并提交报告。</w:t>
      </w:r>
    </w:p>
    <w:p>
      <w:pPr>
        <w:pStyle w:val="77"/>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验收</w:t>
      </w:r>
      <w:r>
        <w:rPr>
          <w:rFonts w:hint="eastAsia" w:ascii="宋体" w:hAnsi="Calibri" w:cs="宋体"/>
          <w:b w:val="0"/>
          <w:bCs w:val="0"/>
          <w:color w:val="000000"/>
          <w:kern w:val="0"/>
          <w:sz w:val="24"/>
          <w:szCs w:val="24"/>
          <w:lang w:val="en-US" w:eastAsia="zh-CN"/>
        </w:rPr>
        <w:t>合格</w:t>
      </w:r>
      <w:r>
        <w:rPr>
          <w:rFonts w:hint="eastAsia" w:ascii="宋体" w:hAnsi="Calibri" w:eastAsia="宋体" w:cs="宋体"/>
          <w:b w:val="0"/>
          <w:bCs w:val="0"/>
          <w:color w:val="000000"/>
          <w:kern w:val="0"/>
          <w:sz w:val="24"/>
          <w:szCs w:val="24"/>
          <w:lang w:val="en-US" w:eastAsia="zh-CN"/>
        </w:rPr>
        <w:t>并提交厂区水量平衡测试报告。</w:t>
      </w:r>
    </w:p>
    <w:p>
      <w:pPr>
        <w:pStyle w:val="77"/>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cs="宋体"/>
          <w:b w:val="0"/>
          <w:bCs w:val="0"/>
          <w:color w:val="000000"/>
          <w:kern w:val="0"/>
          <w:sz w:val="24"/>
          <w:szCs w:val="24"/>
          <w:lang w:val="en-US" w:eastAsia="zh-CN"/>
        </w:rPr>
        <w:t>工期要求</w:t>
      </w:r>
      <w:r>
        <w:rPr>
          <w:rFonts w:hint="eastAsia" w:ascii="宋体" w:hAnsi="Calibri" w:eastAsia="宋体" w:cs="宋体"/>
          <w:b w:val="0"/>
          <w:bCs w:val="0"/>
          <w:color w:val="000000"/>
          <w:kern w:val="0"/>
          <w:sz w:val="24"/>
          <w:szCs w:val="24"/>
          <w:lang w:val="en-US" w:eastAsia="zh-CN"/>
        </w:rPr>
        <w:t>：合同签订生效，</w:t>
      </w:r>
      <w:r>
        <w:rPr>
          <w:rFonts w:hint="eastAsia" w:ascii="宋体" w:hAnsi="Calibri" w:cs="宋体"/>
          <w:b w:val="0"/>
          <w:bCs w:val="0"/>
          <w:color w:val="000000"/>
          <w:kern w:val="0"/>
          <w:sz w:val="24"/>
          <w:szCs w:val="24"/>
          <w:lang w:val="en-US" w:eastAsia="zh-CN"/>
        </w:rPr>
        <w:t>接采购方通知后进场，40天内完成</w:t>
      </w:r>
      <w:r>
        <w:rPr>
          <w:rFonts w:hint="eastAsia" w:ascii="宋体" w:hAnsi="Calibri" w:eastAsia="宋体" w:cs="宋体"/>
          <w:b w:val="0"/>
          <w:bCs w:val="0"/>
          <w:color w:val="000000"/>
          <w:kern w:val="0"/>
          <w:sz w:val="24"/>
          <w:szCs w:val="24"/>
          <w:lang w:val="en-US" w:eastAsia="zh-CN"/>
        </w:rPr>
        <w:t>厂区水量平衡测试，报告报送市节约用水办公室审核并验收合格。</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报价方资格要求</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响应谈判文件、参加报价竞争的中华人民共和国境内的企业法人，且具有独立订立合同的权力，提供营业执照复印件并加盖公章。</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报价方提供法定代表人身份证明书，若非企业法定代表人签字报价需提交法人授权委托书。</w:t>
      </w:r>
    </w:p>
    <w:p>
      <w:pPr>
        <w:pStyle w:val="77"/>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报价方必须是在厦门市节约用水办公室备案的厦门市水平衡测试专业服务单位，且自2018年1月1日起至报价截止日期，具备国内不少于3个水平衡测试的业绩，并提供合同复印件。</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报价截止时间</w:t>
      </w:r>
      <w:bookmarkEnd w:id="6"/>
      <w:bookmarkEnd w:id="7"/>
      <w:bookmarkEnd w:id="8"/>
      <w:bookmarkEnd w:id="9"/>
    </w:p>
    <w:bookmarkEnd w:id="10"/>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11" w:name="_Toc14762_WPSOffice_Level2"/>
      <w:bookmarkStart w:id="12" w:name="_Toc11729_WPSOffice_Level2"/>
      <w:bookmarkStart w:id="13" w:name="_Toc11619_WPSOffice_Level2"/>
      <w:bookmarkStart w:id="14" w:name="_Toc14062_WPSOffice_Level2"/>
      <w:bookmarkStart w:id="15" w:name="_Toc6408_WPSOffice_Level2"/>
      <w:r>
        <w:rPr>
          <w:rFonts w:hint="eastAsia" w:ascii="宋体" w:hAnsi="Calibri" w:eastAsia="宋体" w:cs="宋体"/>
          <w:b w:val="0"/>
          <w:bCs w:val="0"/>
          <w:color w:val="000000"/>
          <w:kern w:val="0"/>
          <w:sz w:val="24"/>
          <w:szCs w:val="24"/>
          <w:lang w:val="en-US" w:eastAsia="zh-CN"/>
        </w:rPr>
        <w:t>报价文件须于2022年</w:t>
      </w:r>
      <w:r>
        <w:rPr>
          <w:rFonts w:hint="eastAsia" w:ascii="宋体" w:hAnsi="Calibri" w:cs="宋体"/>
          <w:b w:val="0"/>
          <w:bCs w:val="0"/>
          <w:color w:val="000000"/>
          <w:kern w:val="0"/>
          <w:sz w:val="24"/>
          <w:szCs w:val="24"/>
          <w:lang w:val="en-US" w:eastAsia="zh-CN"/>
        </w:rPr>
        <w:t>7</w:t>
      </w:r>
      <w:r>
        <w:rPr>
          <w:rFonts w:hint="eastAsia" w:ascii="宋体" w:hAnsi="Calibri" w:eastAsia="宋体" w:cs="宋体"/>
          <w:b w:val="0"/>
          <w:bCs w:val="0"/>
          <w:color w:val="000000"/>
          <w:kern w:val="0"/>
          <w:sz w:val="24"/>
          <w:szCs w:val="24"/>
          <w:lang w:val="en-US" w:eastAsia="zh-CN"/>
        </w:rPr>
        <w:t>月</w:t>
      </w:r>
      <w:r>
        <w:rPr>
          <w:rFonts w:hint="eastAsia" w:ascii="宋体" w:hAnsi="Calibri" w:cs="宋体"/>
          <w:b w:val="0"/>
          <w:bCs w:val="0"/>
          <w:color w:val="000000"/>
          <w:kern w:val="0"/>
          <w:sz w:val="24"/>
          <w:szCs w:val="24"/>
          <w:lang w:val="en-US" w:eastAsia="zh-CN"/>
        </w:rPr>
        <w:t>20</w:t>
      </w:r>
      <w:r>
        <w:rPr>
          <w:rFonts w:hint="eastAsia" w:ascii="宋体" w:hAnsi="Calibri" w:eastAsia="宋体" w:cs="宋体"/>
          <w:b w:val="0"/>
          <w:bCs w:val="0"/>
          <w:color w:val="000000"/>
          <w:kern w:val="0"/>
          <w:sz w:val="24"/>
          <w:szCs w:val="24"/>
          <w:lang w:val="en-US" w:eastAsia="zh-CN"/>
        </w:rPr>
        <w:t>日10:00（北京时间）之前提交到厦门市海沧区阳光西路288号，厦门海发环保能源股份有限公司2楼综合管理办公室。</w:t>
      </w:r>
    </w:p>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采购方有权拒绝接受迟到的报价文件。</w:t>
      </w:r>
    </w:p>
    <w:p>
      <w:pPr>
        <w:pStyle w:val="77"/>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报价文件须盖单位公章，所有报价文件装入封袋密封后都必须在封口处盖章，并在密封袋上正确标明报价项目名称、同时加盖公章。</w:t>
      </w:r>
    </w:p>
    <w:p>
      <w:pPr>
        <w:pStyle w:val="77"/>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6" w:name="_Toc25278_WPSOffice_Level2"/>
      <w:bookmarkStart w:id="17" w:name="_Toc22931_WPSOffice_Level2"/>
      <w:bookmarkStart w:id="18" w:name="_Toc24072_WPSOffice_Level2"/>
      <w:bookmarkStart w:id="19" w:name="_Toc17981_WPSOffice_Level2"/>
      <w:bookmarkStart w:id="20" w:name="_Toc17410_WPSOffice_Level2"/>
      <w:r>
        <w:rPr>
          <w:rFonts w:hint="eastAsia" w:ascii="宋体" w:hAnsi="Calibri" w:eastAsia="宋体" w:cs="宋体"/>
          <w:b/>
          <w:bCs/>
          <w:color w:val="000000"/>
          <w:kern w:val="0"/>
          <w:sz w:val="24"/>
          <w:szCs w:val="24"/>
          <w:lang w:val="en-US" w:eastAsia="zh-CN"/>
        </w:rPr>
        <w:t>谈判时间和地点</w:t>
      </w:r>
      <w:bookmarkEnd w:id="16"/>
      <w:bookmarkEnd w:id="17"/>
      <w:bookmarkEnd w:id="18"/>
      <w:bookmarkEnd w:id="19"/>
      <w:bookmarkEnd w:id="20"/>
    </w:p>
    <w:p>
      <w:pPr>
        <w:pStyle w:val="77"/>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采购方将于202</w:t>
      </w:r>
      <w:r>
        <w:rPr>
          <w:rFonts w:hint="eastAsia" w:ascii="宋体" w:hAnsi="Calibri" w:cs="宋体"/>
          <w:b w:val="0"/>
          <w:bCs w:val="0"/>
          <w:color w:val="000000"/>
          <w:kern w:val="0"/>
          <w:sz w:val="24"/>
          <w:szCs w:val="24"/>
          <w:lang w:val="en-US" w:eastAsia="zh-CN"/>
        </w:rPr>
        <w:t>2</w:t>
      </w:r>
      <w:r>
        <w:rPr>
          <w:rFonts w:hint="eastAsia" w:ascii="宋体" w:hAnsi="Calibri" w:eastAsia="宋体" w:cs="宋体"/>
          <w:b w:val="0"/>
          <w:bCs w:val="0"/>
          <w:color w:val="000000"/>
          <w:kern w:val="0"/>
          <w:sz w:val="24"/>
          <w:szCs w:val="24"/>
          <w:lang w:val="en-US" w:eastAsia="zh-CN"/>
        </w:rPr>
        <w:t>年</w:t>
      </w:r>
      <w:r>
        <w:rPr>
          <w:rFonts w:hint="eastAsia" w:ascii="宋体" w:hAnsi="Calibri" w:cs="宋体"/>
          <w:b w:val="0"/>
          <w:bCs w:val="0"/>
          <w:color w:val="000000"/>
          <w:kern w:val="0"/>
          <w:sz w:val="24"/>
          <w:szCs w:val="24"/>
          <w:lang w:val="en-US" w:eastAsia="zh-CN"/>
        </w:rPr>
        <w:t>7</w:t>
      </w:r>
      <w:r>
        <w:rPr>
          <w:rFonts w:hint="eastAsia" w:ascii="宋体" w:hAnsi="Calibri" w:eastAsia="宋体" w:cs="宋体"/>
          <w:b w:val="0"/>
          <w:bCs w:val="0"/>
          <w:color w:val="000000"/>
          <w:kern w:val="0"/>
          <w:sz w:val="24"/>
          <w:szCs w:val="24"/>
          <w:lang w:val="en-US" w:eastAsia="zh-CN"/>
        </w:rPr>
        <w:t>月</w:t>
      </w:r>
      <w:r>
        <w:rPr>
          <w:rFonts w:hint="eastAsia" w:ascii="宋体" w:hAnsi="Calibri" w:cs="宋体"/>
          <w:b w:val="0"/>
          <w:bCs w:val="0"/>
          <w:color w:val="000000"/>
          <w:kern w:val="0"/>
          <w:sz w:val="24"/>
          <w:szCs w:val="24"/>
          <w:lang w:val="en-US" w:eastAsia="zh-CN"/>
        </w:rPr>
        <w:t>20</w:t>
      </w:r>
      <w:r>
        <w:rPr>
          <w:rFonts w:hint="eastAsia" w:ascii="宋体" w:hAnsi="Calibri" w:eastAsia="宋体" w:cs="宋体"/>
          <w:b w:val="0"/>
          <w:bCs w:val="0"/>
          <w:color w:val="000000"/>
          <w:kern w:val="0"/>
          <w:sz w:val="24"/>
          <w:szCs w:val="24"/>
          <w:lang w:val="en-US" w:eastAsia="zh-CN"/>
        </w:rPr>
        <w:t>日10:00（北京时间），在厦门海发环保能源股份有限公司二楼开标</w:t>
      </w:r>
      <w:r>
        <w:rPr>
          <w:rFonts w:hint="eastAsia" w:ascii="宋体" w:hAnsi="Calibri" w:cs="宋体"/>
          <w:b w:val="0"/>
          <w:bCs w:val="0"/>
          <w:color w:val="000000"/>
          <w:kern w:val="0"/>
          <w:sz w:val="24"/>
          <w:szCs w:val="24"/>
          <w:lang w:val="en-US" w:eastAsia="zh-CN"/>
        </w:rPr>
        <w:t>评标</w:t>
      </w:r>
      <w:r>
        <w:rPr>
          <w:rFonts w:hint="eastAsia" w:ascii="宋体" w:hAnsi="Calibri" w:eastAsia="宋体" w:cs="宋体"/>
          <w:b w:val="0"/>
          <w:bCs w:val="0"/>
          <w:color w:val="000000"/>
          <w:kern w:val="0"/>
          <w:sz w:val="24"/>
          <w:szCs w:val="24"/>
          <w:lang w:val="en-US" w:eastAsia="zh-CN"/>
        </w:rPr>
        <w:t>室谈判。</w:t>
      </w:r>
    </w:p>
    <w:p>
      <w:pPr>
        <w:pStyle w:val="77"/>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谈判时欢迎所有报价方参加谈判会议，报价方代表应签名以证明其出席谈判会议，报价方因故不能派代表出席谈判会议的，视为默认谈判结果。</w:t>
      </w:r>
    </w:p>
    <w:p>
      <w:pPr>
        <w:pStyle w:val="77"/>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项目限价</w:t>
      </w:r>
    </w:p>
    <w:p>
      <w:pPr>
        <w:pStyle w:val="3"/>
        <w:keepNext w:val="0"/>
        <w:keepLines w:val="0"/>
        <w:kinsoku w:val="0"/>
        <w:overflowPunct w:val="0"/>
        <w:autoSpaceDE w:val="0"/>
        <w:autoSpaceDN w:val="0"/>
        <w:snapToGrid w:val="0"/>
        <w:spacing w:before="0" w:after="0" w:line="400" w:lineRule="exact"/>
        <w:ind w:firstLine="522" w:firstLineChars="200"/>
        <w:jc w:val="both"/>
        <w:textAlignment w:val="auto"/>
        <w:rPr>
          <w:highlight w:val="none"/>
        </w:rPr>
      </w:pPr>
      <w:r>
        <w:rPr>
          <w:rFonts w:hint="eastAsia" w:ascii="宋体" w:hAnsi="宋体" w:eastAsia="宋体"/>
          <w:bCs/>
          <w:sz w:val="24"/>
          <w:szCs w:val="24"/>
          <w:highlight w:val="none"/>
        </w:rPr>
        <w:t>本项目设最高限价人民币</w:t>
      </w:r>
      <w:r>
        <w:rPr>
          <w:rFonts w:ascii="宋体" w:hAnsi="宋体" w:eastAsia="宋体"/>
          <w:bCs/>
          <w:sz w:val="24"/>
          <w:szCs w:val="24"/>
          <w:highlight w:val="none"/>
        </w:rPr>
        <w:t>3.2</w:t>
      </w:r>
      <w:r>
        <w:rPr>
          <w:rFonts w:hint="eastAsia" w:ascii="宋体" w:hAnsi="宋体" w:eastAsia="宋体"/>
          <w:bCs/>
          <w:sz w:val="24"/>
          <w:szCs w:val="24"/>
          <w:highlight w:val="none"/>
        </w:rPr>
        <w:t>万元，报价方所报总价不得超过本项目的最高限价。</w:t>
      </w:r>
    </w:p>
    <w:p>
      <w:pPr>
        <w:pStyle w:val="77"/>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评审原则</w:t>
      </w:r>
      <w:bookmarkEnd w:id="11"/>
      <w:bookmarkEnd w:id="12"/>
      <w:bookmarkEnd w:id="13"/>
      <w:bookmarkEnd w:id="14"/>
    </w:p>
    <w:bookmarkEnd w:id="15"/>
    <w:p>
      <w:pPr>
        <w:tabs>
          <w:tab w:val="left" w:pos="0"/>
        </w:tabs>
        <w:kinsoku w:val="0"/>
        <w:overflowPunct w:val="0"/>
        <w:snapToGrid w:val="0"/>
        <w:spacing w:line="400" w:lineRule="exact"/>
        <w:ind w:firstLine="480" w:firstLineChars="200"/>
        <w:jc w:val="left"/>
        <w:textAlignment w:val="auto"/>
        <w:rPr>
          <w:rFonts w:ascii="宋体" w:hAnsi="宋体"/>
          <w:sz w:val="24"/>
          <w:szCs w:val="24"/>
          <w:highlight w:val="none"/>
        </w:rPr>
      </w:pPr>
      <w:bookmarkStart w:id="21" w:name="_Toc18288_WPSOffice_Level2"/>
      <w:bookmarkStart w:id="22" w:name="_Toc20683_WPSOffice_Level2"/>
      <w:bookmarkStart w:id="23" w:name="_Toc4523_WPSOffice_Level2"/>
      <w:bookmarkStart w:id="24" w:name="_Toc11529_WPSOffice_Level2"/>
      <w:bookmarkStart w:id="25" w:name="_Toc7789_WPSOffice_Level2"/>
      <w:r>
        <w:rPr>
          <w:rFonts w:hint="eastAsia" w:ascii="宋体" w:hAnsi="宋体"/>
          <w:sz w:val="24"/>
          <w:highlight w:val="none"/>
        </w:rPr>
        <w:t>本次项目采用最低价成交法。评审谈判小组从通过资格和符合性审查且报价最低的前三位报价方进行谈判。谈判过程中如报价方代表未到现场，视为谈判报价</w:t>
      </w:r>
      <w:bookmarkStart w:id="153" w:name="_GoBack"/>
      <w:bookmarkEnd w:id="153"/>
      <w:r>
        <w:rPr>
          <w:rFonts w:hint="eastAsia" w:ascii="宋体" w:hAnsi="宋体"/>
          <w:sz w:val="24"/>
          <w:highlight w:val="none"/>
        </w:rPr>
        <w:t>维持</w:t>
      </w:r>
      <w:r>
        <w:rPr>
          <w:rFonts w:hint="eastAsia" w:ascii="宋体" w:hAnsi="宋体"/>
          <w:sz w:val="24"/>
          <w:highlight w:val="none"/>
          <w:lang w:val="en-US" w:eastAsia="zh-CN"/>
        </w:rPr>
        <w:t>报价</w:t>
      </w:r>
      <w:r>
        <w:rPr>
          <w:rFonts w:hint="eastAsia" w:ascii="宋体" w:hAnsi="宋体"/>
          <w:sz w:val="24"/>
          <w:highlight w:val="none"/>
        </w:rPr>
        <w:t>文件价格不变，谈判报价最低者确定为成交供应商。</w:t>
      </w:r>
    </w:p>
    <w:p>
      <w:pPr>
        <w:pStyle w:val="77"/>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联系人</w:t>
      </w:r>
      <w:bookmarkEnd w:id="21"/>
      <w:bookmarkEnd w:id="22"/>
      <w:bookmarkEnd w:id="23"/>
      <w:bookmarkEnd w:id="24"/>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技术联系人：杨明锦，电话：</w:t>
      </w:r>
      <w:bookmarkEnd w:id="25"/>
      <w:r>
        <w:rPr>
          <w:rFonts w:ascii="宋体" w:hAnsi="宋体" w:eastAsia="宋体"/>
          <w:b w:val="0"/>
          <w:sz w:val="24"/>
          <w:szCs w:val="24"/>
          <w:highlight w:val="none"/>
        </w:rPr>
        <w:t>18606940612</w:t>
      </w:r>
      <w:r>
        <w:rPr>
          <w:rFonts w:hint="eastAsia" w:ascii="宋体" w:hAnsi="宋体" w:eastAsia="宋体"/>
          <w:b w:val="0"/>
          <w:sz w:val="24"/>
          <w:szCs w:val="24"/>
          <w:highlight w:val="none"/>
        </w:rPr>
        <w:t>；</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交标书联系人：林鹭莺，电话：13959259483</w:t>
      </w:r>
    </w:p>
    <w:p>
      <w:pPr>
        <w:pStyle w:val="77"/>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26" w:name="_Toc4595_WPSOffice_Level2"/>
      <w:bookmarkStart w:id="27" w:name="_Toc22469_WPSOffice_Level2"/>
      <w:bookmarkStart w:id="28" w:name="_Toc18891_WPSOffice_Level2"/>
      <w:bookmarkStart w:id="29" w:name="_Toc12064_WPSOffice_Level2"/>
      <w:bookmarkStart w:id="30" w:name="_Toc15902_WPSOffice_Level2"/>
      <w:r>
        <w:rPr>
          <w:rFonts w:hint="eastAsia" w:ascii="宋体" w:hAnsi="Calibri" w:eastAsia="宋体" w:cs="宋体"/>
          <w:b/>
          <w:bCs/>
          <w:color w:val="000000"/>
          <w:kern w:val="0"/>
          <w:sz w:val="24"/>
          <w:szCs w:val="24"/>
          <w:lang w:val="en-US" w:eastAsia="zh-CN"/>
        </w:rPr>
        <w:t>监督电话</w:t>
      </w:r>
      <w:bookmarkEnd w:id="26"/>
      <w:bookmarkEnd w:id="27"/>
      <w:bookmarkEnd w:id="28"/>
      <w:bookmarkEnd w:id="29"/>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shd w:val="clear" w:color="auto" w:fill="FFFFFF"/>
        </w:rPr>
      </w:pPr>
      <w:r>
        <w:rPr>
          <w:rFonts w:hint="eastAsia" w:ascii="宋体" w:hAnsi="宋体" w:eastAsia="宋体"/>
          <w:b w:val="0"/>
          <w:sz w:val="24"/>
          <w:szCs w:val="24"/>
          <w:highlight w:val="none"/>
          <w:shd w:val="clear" w:color="auto" w:fill="FFFFFF"/>
        </w:rPr>
        <w:t xml:space="preserve">海发集团纪检监察室 0592-6800131 </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shd w:val="clear" w:color="auto" w:fill="FFFFFF"/>
        </w:rPr>
        <w:t>环保能源公司纪检小组 0592-6807528 </w:t>
      </w:r>
      <w:bookmarkEnd w:id="30"/>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p>
      <w:pPr>
        <w:shd w:val="clear" w:color="auto" w:fill="FFFFFF"/>
        <w:kinsoku w:val="0"/>
        <w:overflowPunct w:val="0"/>
        <w:adjustRightInd/>
        <w:spacing w:line="400" w:lineRule="atLeast"/>
        <w:ind w:firstLine="5116" w:firstLineChars="2132"/>
        <w:jc w:val="left"/>
        <w:rPr>
          <w:rFonts w:ascii="宋体" w:hAnsi="宋体"/>
          <w:sz w:val="24"/>
          <w:szCs w:val="24"/>
          <w:highlight w:val="none"/>
        </w:rPr>
      </w:pPr>
      <w:r>
        <w:rPr>
          <w:rFonts w:hint="eastAsia" w:ascii="宋体" w:hAnsi="宋体"/>
          <w:sz w:val="24"/>
          <w:szCs w:val="24"/>
          <w:highlight w:val="none"/>
        </w:rPr>
        <w:t>厦门海发环保能源股份有限公司</w:t>
      </w:r>
    </w:p>
    <w:p>
      <w:pPr>
        <w:shd w:val="clear" w:color="auto" w:fill="FFFFFF"/>
        <w:kinsoku w:val="0"/>
        <w:overflowPunct w:val="0"/>
        <w:adjustRightInd/>
        <w:spacing w:line="400" w:lineRule="atLeast"/>
        <w:ind w:firstLine="6552" w:firstLineChars="2730"/>
        <w:jc w:val="left"/>
        <w:rPr>
          <w:rFonts w:ascii="宋体" w:hAnsi="宋体"/>
          <w:sz w:val="24"/>
          <w:szCs w:val="24"/>
          <w:highlight w:val="none"/>
        </w:rPr>
      </w:pPr>
      <w:r>
        <w:rPr>
          <w:rFonts w:hint="eastAsia" w:ascii="宋体" w:hAnsi="宋体"/>
          <w:sz w:val="24"/>
          <w:szCs w:val="24"/>
          <w:highlight w:val="none"/>
        </w:rPr>
        <w:t>202</w:t>
      </w:r>
      <w:r>
        <w:rPr>
          <w:rFonts w:ascii="宋体" w:hAnsi="宋体"/>
          <w:sz w:val="24"/>
          <w:szCs w:val="24"/>
          <w:highlight w:val="none"/>
        </w:rPr>
        <w:t>2</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14</w:t>
      </w:r>
      <w:r>
        <w:rPr>
          <w:rFonts w:hint="eastAsia" w:ascii="宋体" w:hAnsi="宋体"/>
          <w:sz w:val="24"/>
          <w:szCs w:val="24"/>
          <w:highlight w:val="none"/>
        </w:rPr>
        <w:t>日</w:t>
      </w: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pPr>
    </w:p>
    <w:p>
      <w:pPr>
        <w:shd w:val="clear" w:color="auto" w:fill="FFFFFF"/>
        <w:kinsoku w:val="0"/>
        <w:overflowPunct w:val="0"/>
        <w:adjustRightInd/>
        <w:spacing w:line="400" w:lineRule="atLeast"/>
        <w:ind w:firstLine="6076" w:firstLineChars="2532"/>
        <w:jc w:val="left"/>
        <w:rPr>
          <w:rFonts w:ascii="宋体" w:hAnsi="宋体"/>
          <w:sz w:val="24"/>
          <w:szCs w:val="24"/>
          <w:highlight w:val="none"/>
        </w:rPr>
        <w:sectPr>
          <w:headerReference r:id="rId9" w:type="default"/>
          <w:footerReference r:id="rId10" w:type="default"/>
          <w:pgSz w:w="11906" w:h="16838"/>
          <w:pgMar w:top="1418" w:right="1418" w:bottom="1134" w:left="1418" w:header="1247" w:footer="1134" w:gutter="0"/>
          <w:cols w:space="720" w:num="1"/>
          <w:docGrid w:linePitch="326" w:charSpace="0"/>
        </w:sect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bookmarkStart w:id="31" w:name="_Toc11260_WPSOffice_Level1"/>
      <w:bookmarkStart w:id="32" w:name="_Toc28625_WPSOffice_Level1"/>
      <w:bookmarkStart w:id="33" w:name="_Toc9417_WPSOffice_Level1"/>
      <w:bookmarkStart w:id="34" w:name="_Toc32729_WPSOffice_Level1"/>
      <w:bookmarkStart w:id="35" w:name="_Toc7186_WPSOffice_Level1"/>
      <w:r>
        <w:rPr>
          <w:rFonts w:hint="eastAsia" w:ascii="宋体" w:hAnsi="宋体" w:eastAsia="宋体"/>
          <w:bCs/>
          <w:sz w:val="24"/>
          <w:szCs w:val="24"/>
          <w:highlight w:val="none"/>
        </w:rPr>
        <w:t>第二部分 谈判须知</w:t>
      </w:r>
      <w:bookmarkEnd w:id="31"/>
      <w:bookmarkEnd w:id="32"/>
      <w:bookmarkEnd w:id="33"/>
      <w:bookmarkEnd w:id="34"/>
      <w:bookmarkEnd w:id="35"/>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bookmarkStart w:id="36" w:name="_Toc5871_WPSOffice_Level2"/>
      <w:r>
        <w:rPr>
          <w:rFonts w:hint="eastAsia" w:ascii="宋体" w:hAnsi="宋体" w:eastAsia="宋体"/>
          <w:bCs/>
          <w:sz w:val="24"/>
          <w:szCs w:val="24"/>
          <w:highlight w:val="none"/>
        </w:rPr>
        <w:t>备注：</w:t>
      </w:r>
      <w:bookmarkEnd w:id="36"/>
    </w:p>
    <w:p>
      <w:pPr>
        <w:pStyle w:val="3"/>
        <w:keepNext w:val="0"/>
        <w:keepLines w:val="0"/>
        <w:numPr>
          <w:ilvl w:val="0"/>
          <w:numId w:val="9"/>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全文中带有“*”的条款为关键性条款，如报价方对这些关键性条款存在任何负偏离或不满足将导致报价无效。</w:t>
      </w:r>
    </w:p>
    <w:p>
      <w:pPr>
        <w:pStyle w:val="3"/>
        <w:keepNext w:val="0"/>
        <w:keepLines w:val="0"/>
        <w:numPr>
          <w:ilvl w:val="0"/>
          <w:numId w:val="9"/>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谈判文件中所述技术要求，应视为保证实现本项目施工所需要的最低要求，如有遗漏，报价方应予以补充，否则，一旦成交将认为报价方认同遗漏部分并免费提供。</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本项目为</w:t>
      </w:r>
      <w:r>
        <w:rPr>
          <w:rFonts w:hint="eastAsia" w:ascii="宋体" w:hAnsi="宋体" w:eastAsia="宋体"/>
          <w:b w:val="0"/>
          <w:sz w:val="24"/>
          <w:szCs w:val="24"/>
          <w:highlight w:val="none"/>
          <w:u w:val="single"/>
          <w:lang w:val="en-US" w:eastAsia="zh-CN"/>
        </w:rPr>
        <w:t>2022年</w:t>
      </w:r>
      <w:r>
        <w:rPr>
          <w:rFonts w:hint="eastAsia" w:ascii="宋体" w:hAnsi="宋体" w:eastAsia="宋体"/>
          <w:b w:val="0"/>
          <w:bCs/>
          <w:sz w:val="24"/>
          <w:szCs w:val="24"/>
          <w:highlight w:val="none"/>
          <w:u w:val="single"/>
        </w:rPr>
        <w:t>厂区水量平衡测试项目</w:t>
      </w:r>
      <w:r>
        <w:rPr>
          <w:rFonts w:hint="eastAsia" w:ascii="宋体" w:hAnsi="宋体" w:eastAsia="宋体"/>
          <w:b w:val="0"/>
          <w:sz w:val="24"/>
          <w:szCs w:val="24"/>
          <w:highlight w:val="none"/>
        </w:rPr>
        <w:t>竞争性谈判采购，采购方为厦门海发环保能源股份有限公司。</w:t>
      </w:r>
      <w:r>
        <w:rPr>
          <w:rFonts w:hint="eastAsia" w:ascii="宋体" w:hAnsi="宋体" w:eastAsia="宋体"/>
          <w:b w:val="0"/>
          <w:bCs/>
          <w:sz w:val="24"/>
          <w:szCs w:val="24"/>
          <w:highlight w:val="none"/>
        </w:rPr>
        <w:t>请各</w:t>
      </w:r>
      <w:r>
        <w:rPr>
          <w:rFonts w:hint="eastAsia" w:ascii="宋体" w:hAnsi="宋体" w:eastAsia="宋体"/>
          <w:b w:val="0"/>
          <w:sz w:val="24"/>
          <w:szCs w:val="24"/>
          <w:highlight w:val="none"/>
        </w:rPr>
        <w:t>报价方仔细阅读本谈判文件的内容以保证提交完整有效的响应文件参加谈判活动。</w:t>
      </w:r>
    </w:p>
    <w:p>
      <w:pPr>
        <w:pStyle w:val="2"/>
        <w:spacing w:before="0" w:after="0" w:line="240" w:lineRule="auto"/>
        <w:jc w:val="center"/>
        <w:rPr>
          <w:rFonts w:ascii="宋体" w:hAnsi="宋体"/>
          <w:sz w:val="24"/>
          <w:szCs w:val="24"/>
          <w:highlight w:val="none"/>
        </w:rPr>
      </w:pPr>
      <w:bookmarkStart w:id="37" w:name="_Toc4901220"/>
      <w:bookmarkStart w:id="38" w:name="_Toc168484099"/>
      <w:bookmarkStart w:id="39" w:name="_Toc117657127"/>
      <w:bookmarkStart w:id="40" w:name="_Toc89055971"/>
      <w:bookmarkStart w:id="41" w:name="_Toc31698"/>
      <w:r>
        <w:rPr>
          <w:rFonts w:hint="eastAsia" w:ascii="宋体" w:hAnsi="宋体"/>
          <w:sz w:val="24"/>
          <w:szCs w:val="24"/>
          <w:highlight w:val="none"/>
        </w:rPr>
        <w:t>前  附  表</w:t>
      </w:r>
      <w:bookmarkEnd w:id="37"/>
      <w:bookmarkEnd w:id="38"/>
      <w:bookmarkEnd w:id="39"/>
      <w:bookmarkEnd w:id="40"/>
      <w:bookmarkEnd w:id="41"/>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项目</w:t>
            </w:r>
          </w:p>
        </w:tc>
        <w:tc>
          <w:tcPr>
            <w:tcW w:w="4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tcBorders>
              <w:top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4510" w:type="pct"/>
            <w:tcBorders>
              <w:top w:val="single" w:color="auto" w:sz="4" w:space="0"/>
            </w:tcBorders>
            <w:vAlign w:val="center"/>
          </w:tcPr>
          <w:p>
            <w:pPr>
              <w:spacing w:line="380" w:lineRule="exact"/>
              <w:rPr>
                <w:rFonts w:ascii="宋体" w:hAnsi="宋体" w:cs="宋体"/>
                <w:b/>
                <w:sz w:val="24"/>
                <w:szCs w:val="24"/>
                <w:highlight w:val="none"/>
              </w:rPr>
            </w:pPr>
            <w:r>
              <w:rPr>
                <w:rFonts w:hint="eastAsia" w:ascii="宋体" w:hAnsi="宋体" w:cs="宋体"/>
                <w:b/>
                <w:sz w:val="24"/>
                <w:szCs w:val="24"/>
                <w:highlight w:val="none"/>
              </w:rPr>
              <w:t>项目概况</w:t>
            </w:r>
          </w:p>
          <w:p>
            <w:pPr>
              <w:numPr>
                <w:ilvl w:val="0"/>
                <w:numId w:val="10"/>
              </w:numPr>
              <w:spacing w:line="380" w:lineRule="exact"/>
              <w:rPr>
                <w:rFonts w:ascii="宋体" w:hAnsi="宋体" w:cs="宋体"/>
                <w:bCs/>
                <w:kern w:val="2"/>
                <w:sz w:val="24"/>
                <w:szCs w:val="24"/>
                <w:highlight w:val="none"/>
              </w:rPr>
            </w:pPr>
            <w:r>
              <w:rPr>
                <w:rFonts w:hint="eastAsia" w:ascii="宋体" w:hAnsi="宋体" w:cs="宋体"/>
                <w:bCs/>
                <w:sz w:val="24"/>
                <w:szCs w:val="24"/>
                <w:highlight w:val="none"/>
              </w:rPr>
              <w:t>项目名称：</w:t>
            </w:r>
            <w:r>
              <w:rPr>
                <w:rFonts w:hint="eastAsia" w:ascii="宋体" w:hAnsi="宋体" w:cs="宋体"/>
                <w:bCs/>
                <w:sz w:val="24"/>
                <w:szCs w:val="24"/>
                <w:highlight w:val="none"/>
                <w:u w:val="single"/>
                <w:lang w:val="en-US" w:eastAsia="zh-CN"/>
              </w:rPr>
              <w:t>2022年</w:t>
            </w:r>
            <w:r>
              <w:rPr>
                <w:rFonts w:hint="eastAsia" w:ascii="宋体" w:hAnsi="宋体"/>
                <w:bCs/>
                <w:sz w:val="24"/>
                <w:szCs w:val="24"/>
                <w:highlight w:val="none"/>
                <w:u w:val="single"/>
              </w:rPr>
              <w:t>厂区水量平衡测试项目</w:t>
            </w:r>
          </w:p>
          <w:p>
            <w:pPr>
              <w:numPr>
                <w:ilvl w:val="0"/>
                <w:numId w:val="10"/>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 购 人：</w:t>
            </w:r>
            <w:r>
              <w:rPr>
                <w:rFonts w:hint="eastAsia" w:ascii="宋体" w:hAnsi="宋体" w:cs="宋体"/>
                <w:sz w:val="24"/>
                <w:szCs w:val="24"/>
                <w:highlight w:val="none"/>
              </w:rPr>
              <w:t>厦门海发环保能源股份有限公司</w:t>
            </w:r>
          </w:p>
          <w:p>
            <w:pPr>
              <w:numPr>
                <w:ilvl w:val="0"/>
                <w:numId w:val="10"/>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采购方式：公开竞争性谈判</w:t>
            </w:r>
          </w:p>
          <w:p>
            <w:pPr>
              <w:numPr>
                <w:ilvl w:val="0"/>
                <w:numId w:val="10"/>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资金来源：国有企业自筹资金</w:t>
            </w:r>
          </w:p>
          <w:p>
            <w:pPr>
              <w:numPr>
                <w:ilvl w:val="0"/>
                <w:numId w:val="10"/>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项目编号：HFHN-XY2022-013</w:t>
            </w:r>
          </w:p>
          <w:p>
            <w:pPr>
              <w:numPr>
                <w:ilvl w:val="0"/>
                <w:numId w:val="10"/>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质量要求：合格</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textAlignment w:val="auto"/>
              <w:rPr>
                <w:rFonts w:ascii="宋体" w:hAnsi="宋体" w:eastAsia="宋体"/>
                <w:b w:val="0"/>
                <w:bCs/>
                <w:sz w:val="24"/>
                <w:szCs w:val="24"/>
                <w:highlight w:val="none"/>
              </w:rPr>
            </w:pPr>
            <w:r>
              <w:rPr>
                <w:rFonts w:hint="eastAsia" w:ascii="宋体" w:hAnsi="宋体" w:eastAsia="宋体" w:cs="宋体"/>
                <w:b w:val="0"/>
                <w:bCs/>
                <w:spacing w:val="0"/>
                <w:kern w:val="2"/>
                <w:sz w:val="24"/>
                <w:szCs w:val="24"/>
                <w:highlight w:val="none"/>
              </w:rPr>
              <w:t>7、</w:t>
            </w:r>
            <w:r>
              <w:rPr>
                <w:rFonts w:hint="eastAsia" w:ascii="宋体" w:hAnsi="宋体"/>
                <w:b w:val="0"/>
                <w:bCs/>
                <w:sz w:val="24"/>
                <w:szCs w:val="24"/>
                <w:highlight w:val="none"/>
                <w:lang w:val="en-US" w:eastAsia="zh-CN"/>
              </w:rPr>
              <w:t>工期要求</w:t>
            </w:r>
            <w:r>
              <w:rPr>
                <w:rFonts w:hint="eastAsia" w:ascii="宋体" w:hAnsi="宋体" w:eastAsia="宋体"/>
                <w:b w:val="0"/>
                <w:bCs/>
                <w:sz w:val="24"/>
                <w:szCs w:val="24"/>
                <w:highlight w:val="none"/>
              </w:rPr>
              <w:t>：合同签订生效，</w:t>
            </w:r>
            <w:r>
              <w:rPr>
                <w:rFonts w:hint="eastAsia" w:ascii="宋体" w:hAnsi="Calibri" w:cs="宋体"/>
                <w:b w:val="0"/>
                <w:bCs w:val="0"/>
                <w:color w:val="000000"/>
                <w:kern w:val="0"/>
                <w:sz w:val="24"/>
                <w:szCs w:val="24"/>
                <w:lang w:val="en-US" w:eastAsia="zh-CN"/>
              </w:rPr>
              <w:t>接采购方通知后进场，40天内完成</w:t>
            </w:r>
            <w:r>
              <w:rPr>
                <w:rFonts w:hint="eastAsia" w:ascii="宋体" w:hAnsi="Calibri" w:eastAsia="宋体" w:cs="宋体"/>
                <w:b w:val="0"/>
                <w:bCs w:val="0"/>
                <w:color w:val="000000"/>
                <w:kern w:val="0"/>
                <w:sz w:val="24"/>
                <w:szCs w:val="24"/>
                <w:lang w:val="en-US" w:eastAsia="zh-CN"/>
              </w:rPr>
              <w:t>厂区水量平衡测试，报告报送市节约用水办公室审核并验收合格。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89" w:type="pct"/>
            <w:vAlign w:val="center"/>
          </w:tcPr>
          <w:p>
            <w:pPr>
              <w:spacing w:line="360" w:lineRule="auto"/>
              <w:jc w:val="center"/>
              <w:rPr>
                <w:rFonts w:ascii="宋体" w:hAnsi="宋体" w:cs="宋体"/>
                <w:bCs/>
                <w:kern w:val="2"/>
                <w:sz w:val="24"/>
                <w:szCs w:val="24"/>
                <w:highlight w:val="none"/>
              </w:rPr>
            </w:pPr>
            <w:r>
              <w:rPr>
                <w:rFonts w:hint="eastAsia" w:ascii="宋体" w:hAnsi="宋体" w:cs="宋体"/>
                <w:bCs/>
                <w:kern w:val="2"/>
                <w:sz w:val="24"/>
                <w:szCs w:val="24"/>
                <w:highlight w:val="none"/>
              </w:rPr>
              <w:t>2</w:t>
            </w:r>
          </w:p>
        </w:tc>
        <w:tc>
          <w:tcPr>
            <w:tcW w:w="4510" w:type="pct"/>
            <w:vAlign w:val="center"/>
          </w:tcPr>
          <w:p>
            <w:pPr>
              <w:snapToGrid w:val="0"/>
              <w:spacing w:line="400" w:lineRule="exact"/>
              <w:ind w:left="843" w:hanging="843" w:hangingChars="350"/>
              <w:rPr>
                <w:rFonts w:ascii="宋体" w:hAnsi="宋体" w:cs="宋体"/>
                <w:bCs/>
                <w:kern w:val="2"/>
                <w:sz w:val="24"/>
                <w:szCs w:val="24"/>
                <w:highlight w:val="none"/>
              </w:rPr>
            </w:pPr>
            <w:r>
              <w:rPr>
                <w:rFonts w:hint="eastAsia" w:ascii="宋体" w:hAnsi="宋体" w:cs="宋体"/>
                <w:b/>
                <w:bCs/>
                <w:sz w:val="24"/>
                <w:szCs w:val="24"/>
                <w:highlight w:val="none"/>
              </w:rPr>
              <w:t>响应人资格要求</w:t>
            </w:r>
          </w:p>
          <w:p>
            <w:pPr>
              <w:numPr>
                <w:ilvl w:val="0"/>
                <w:numId w:val="11"/>
              </w:numPr>
              <w:spacing w:line="360" w:lineRule="auto"/>
              <w:rPr>
                <w:rFonts w:ascii="宋体" w:hAnsi="宋体" w:cs="宋体"/>
                <w:bCs/>
                <w:kern w:val="2"/>
                <w:sz w:val="24"/>
                <w:szCs w:val="24"/>
                <w:highlight w:val="none"/>
              </w:rPr>
            </w:pPr>
            <w:r>
              <w:rPr>
                <w:rFonts w:hint="eastAsia" w:ascii="宋体" w:hAnsi="宋体"/>
                <w:bCs/>
                <w:sz w:val="24"/>
                <w:szCs w:val="24"/>
                <w:highlight w:val="none"/>
              </w:rPr>
              <w:t>响应谈判文件、参加报价竞争的中华人民共和国境内的企业法人，且具有独</w:t>
            </w:r>
            <w:r>
              <w:rPr>
                <w:rFonts w:hint="eastAsia" w:ascii="宋体" w:hAnsi="宋体" w:cs="宋体"/>
                <w:bCs/>
                <w:kern w:val="2"/>
                <w:sz w:val="24"/>
                <w:szCs w:val="24"/>
                <w:highlight w:val="none"/>
              </w:rPr>
              <w:t>立订立合同的权力，提供营业执照和资质证书复印件并加盖公章。</w:t>
            </w:r>
          </w:p>
          <w:p>
            <w:pPr>
              <w:numPr>
                <w:ilvl w:val="0"/>
                <w:numId w:val="11"/>
              </w:numPr>
              <w:spacing w:line="360" w:lineRule="auto"/>
              <w:rPr>
                <w:rFonts w:ascii="宋体" w:hAnsi="宋体"/>
                <w:bCs/>
                <w:sz w:val="24"/>
                <w:szCs w:val="24"/>
                <w:highlight w:val="none"/>
              </w:rPr>
            </w:pPr>
            <w:r>
              <w:rPr>
                <w:rFonts w:hint="eastAsia" w:ascii="宋体" w:hAnsi="宋体" w:cs="宋体"/>
                <w:bCs/>
                <w:kern w:val="2"/>
                <w:sz w:val="24"/>
                <w:szCs w:val="24"/>
                <w:highlight w:val="none"/>
              </w:rPr>
              <w:t>报价方提供法定代表人身份证明书，若非企业法定代表人签字报价需提交法人授权委托书。</w:t>
            </w:r>
          </w:p>
          <w:p>
            <w:pPr>
              <w:numPr>
                <w:ilvl w:val="0"/>
                <w:numId w:val="11"/>
              </w:numPr>
              <w:spacing w:line="360" w:lineRule="auto"/>
              <w:rPr>
                <w:highlight w:val="none"/>
              </w:rPr>
            </w:pPr>
            <w:r>
              <w:rPr>
                <w:rFonts w:hint="eastAsia" w:ascii="宋体" w:hAnsi="宋体" w:cs="仿宋_GB2312"/>
                <w:sz w:val="24"/>
                <w:szCs w:val="24"/>
                <w:highlight w:val="none"/>
              </w:rPr>
              <w:t>有在厦门市建设局备案的厦门市水平衡测试专业服务单位，且自2018</w:t>
            </w:r>
            <w:r>
              <w:rPr>
                <w:rFonts w:hint="eastAsia" w:ascii="宋体" w:hAnsi="宋体" w:cs="宋体"/>
                <w:bCs/>
                <w:kern w:val="2"/>
                <w:sz w:val="24"/>
                <w:szCs w:val="24"/>
                <w:highlight w:val="none"/>
              </w:rPr>
              <w:t>年1月1日起至报价截止日期，报价方必须具备国内不少于3个水平衡测试的业绩，并提供合同复印件。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4510" w:type="pct"/>
            <w:vAlign w:val="center"/>
          </w:tcPr>
          <w:p>
            <w:pPr>
              <w:snapToGrid w:val="0"/>
              <w:spacing w:line="400" w:lineRule="exact"/>
              <w:ind w:left="843" w:hanging="843" w:hangingChars="350"/>
              <w:rPr>
                <w:rFonts w:ascii="宋体" w:hAnsi="宋体" w:cs="宋体"/>
                <w:sz w:val="24"/>
                <w:szCs w:val="24"/>
                <w:highlight w:val="none"/>
              </w:rPr>
            </w:pPr>
            <w:r>
              <w:rPr>
                <w:rFonts w:hint="eastAsia" w:ascii="宋体" w:hAnsi="宋体" w:cs="宋体"/>
                <w:b/>
                <w:bCs/>
                <w:sz w:val="24"/>
                <w:szCs w:val="24"/>
                <w:highlight w:val="none"/>
              </w:rPr>
              <w:t>踏勘现场：</w:t>
            </w:r>
            <w:r>
              <w:rPr>
                <w:rFonts w:hint="eastAsia" w:ascii="宋体" w:hAnsi="宋体" w:cs="宋体"/>
                <w:bCs/>
                <w:sz w:val="24"/>
                <w:szCs w:val="24"/>
                <w:highlight w:val="none"/>
              </w:rPr>
              <w:t>自行组织</w:t>
            </w:r>
          </w:p>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答疑形式：</w:t>
            </w:r>
            <w:r>
              <w:rPr>
                <w:rFonts w:hint="eastAsia" w:ascii="宋体" w:hAnsi="宋体" w:cs="宋体"/>
                <w:bCs/>
                <w:sz w:val="24"/>
                <w:szCs w:val="24"/>
                <w:highlight w:val="none"/>
              </w:rPr>
              <w:t>本项目不举行答疑会，如有问题可与采购方联系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sz w:val="24"/>
                <w:szCs w:val="24"/>
                <w:highlight w:val="none"/>
              </w:rPr>
              <w:t>响应报价文件有效期：</w:t>
            </w:r>
            <w:r>
              <w:rPr>
                <w:rFonts w:hint="eastAsia" w:ascii="宋体" w:hAnsi="宋体" w:cs="宋体"/>
                <w:sz w:val="24"/>
                <w:szCs w:val="24"/>
                <w:highlight w:val="none"/>
              </w:rPr>
              <w:t>自谈判截止日起60天（日历天）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响应报价文件装订要求</w:t>
            </w:r>
            <w:r>
              <w:rPr>
                <w:rFonts w:hint="eastAsia" w:ascii="宋体" w:hAnsi="宋体" w:cs="宋体"/>
                <w:sz w:val="24"/>
                <w:szCs w:val="24"/>
                <w:highlight w:val="none"/>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响应报价文件递交截止日期</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7</w:t>
            </w:r>
            <w:r>
              <w:rPr>
                <w:rFonts w:hint="eastAsia" w:ascii="宋体" w:hAnsi="宋体"/>
                <w:b/>
                <w:sz w:val="24"/>
                <w:szCs w:val="24"/>
                <w:highlight w:val="none"/>
              </w:rPr>
              <w:t>月</w:t>
            </w:r>
            <w:r>
              <w:rPr>
                <w:rFonts w:hint="eastAsia" w:ascii="宋体" w:hAnsi="宋体"/>
                <w:sz w:val="24"/>
                <w:szCs w:val="24"/>
                <w:highlight w:val="none"/>
                <w:lang w:val="en-US" w:eastAsia="zh-CN"/>
              </w:rPr>
              <w:t>20</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响应报价文件递交至</w:t>
            </w:r>
            <w:r>
              <w:rPr>
                <w:rFonts w:hint="eastAsia" w:ascii="宋体" w:hAnsi="宋体" w:cs="宋体"/>
                <w:sz w:val="24"/>
                <w:szCs w:val="24"/>
                <w:highlight w:val="none"/>
              </w:rPr>
              <w:t>：厦门海发环保能源股份有限公司2楼综合管理办公室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4510" w:type="pct"/>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谈判时间</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7</w:t>
            </w:r>
            <w:r>
              <w:rPr>
                <w:rFonts w:hint="eastAsia" w:ascii="宋体" w:hAnsi="宋体"/>
                <w:b/>
                <w:sz w:val="24"/>
                <w:szCs w:val="24"/>
                <w:highlight w:val="none"/>
              </w:rPr>
              <w:t>月</w:t>
            </w:r>
            <w:r>
              <w:rPr>
                <w:rFonts w:hint="eastAsia" w:ascii="宋体" w:hAnsi="宋体"/>
                <w:sz w:val="24"/>
                <w:szCs w:val="24"/>
                <w:highlight w:val="none"/>
                <w:lang w:val="en-US" w:eastAsia="zh-CN"/>
              </w:rPr>
              <w:t>20</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谈判地点</w:t>
            </w:r>
            <w:r>
              <w:rPr>
                <w:rFonts w:hint="eastAsia" w:ascii="宋体" w:hAnsi="宋体" w:cs="宋体"/>
                <w:sz w:val="24"/>
                <w:szCs w:val="24"/>
                <w:highlight w:val="none"/>
              </w:rPr>
              <w:t xml:space="preserve">：厦门海发环保能源股份有限公司二楼开标室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4510" w:type="pct"/>
            <w:vAlign w:val="center"/>
          </w:tcPr>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谈判规则：</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谈判小组对报价方进行资格性和符合性审查，报价方不符合资格性及符合性条款和“*”条款要求，视为无效响应报价文件；</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谈判小组从通过资格和符合性审查且报价最低的前三位报价方进行谈判。谈判小组所有成员应当全员到齐与单一报价方分别进行谈判，谈判顺序采用随机抽取的方法确认。</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报价方代表未到现场，视为维持投标报价文件内容和投标报价价格不变。</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除非采购文件中的技术、服务要求以及合同草案条款有实质性变动的，否则后一次的报价不得高于前一次的报价，若有出现该情况的，则后一次的报价无效，以前一次的报价为准。</w:t>
            </w:r>
          </w:p>
          <w:p>
            <w:pPr>
              <w:numPr>
                <w:ilvl w:val="0"/>
                <w:numId w:val="12"/>
              </w:numPr>
              <w:spacing w:line="400" w:lineRule="exact"/>
              <w:jc w:val="left"/>
              <w:rPr>
                <w:rFonts w:ascii="宋体" w:hAnsi="宋体"/>
                <w:b/>
                <w:bCs/>
                <w:sz w:val="24"/>
                <w:szCs w:val="24"/>
                <w:highlight w:val="none"/>
              </w:rPr>
            </w:pPr>
            <w:r>
              <w:rPr>
                <w:rFonts w:hint="eastAsia" w:ascii="宋体" w:hAnsi="宋体"/>
                <w:b/>
                <w:bCs/>
                <w:sz w:val="24"/>
                <w:szCs w:val="24"/>
                <w:highlight w:val="none"/>
              </w:rPr>
              <w:t>响应报价方代表参加谈判并签署报价文件，谈判时应出示身份证原件。</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在谈判活动中，有关人员不得透露与谈判有关的一切技术资料、价格和其它信息给其他报价方。</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4510" w:type="pct"/>
            <w:vAlign w:val="center"/>
          </w:tcPr>
          <w:p>
            <w:pPr>
              <w:spacing w:line="400" w:lineRule="exact"/>
              <w:jc w:val="left"/>
              <w:rPr>
                <w:rFonts w:ascii="宋体" w:hAnsi="宋体"/>
                <w:b/>
                <w:bCs/>
                <w:sz w:val="24"/>
                <w:szCs w:val="24"/>
                <w:highlight w:val="none"/>
              </w:rPr>
            </w:pPr>
            <w:r>
              <w:rPr>
                <w:rFonts w:hint="eastAsia" w:ascii="宋体" w:hAnsi="宋体"/>
                <w:b/>
                <w:bCs/>
                <w:sz w:val="24"/>
                <w:szCs w:val="24"/>
                <w:highlight w:val="none"/>
              </w:rPr>
              <w:t>谈判评审标准：</w:t>
            </w:r>
          </w:p>
          <w:p>
            <w:pPr>
              <w:numPr>
                <w:ilvl w:val="0"/>
                <w:numId w:val="13"/>
              </w:numPr>
              <w:snapToGrid w:val="0"/>
              <w:spacing w:line="380" w:lineRule="exact"/>
              <w:rPr>
                <w:rFonts w:ascii="宋体" w:hAnsi="宋体"/>
                <w:sz w:val="24"/>
                <w:szCs w:val="24"/>
                <w:highlight w:val="none"/>
              </w:rPr>
            </w:pPr>
            <w:r>
              <w:rPr>
                <w:rFonts w:hint="eastAsia" w:ascii="宋体" w:hAnsi="宋体"/>
                <w:sz w:val="24"/>
                <w:szCs w:val="24"/>
                <w:highlight w:val="none"/>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询报价，若还出现报价相同，则由评标小组现场抽签确定成交候选供应商顺序。</w:t>
            </w:r>
          </w:p>
          <w:p>
            <w:pPr>
              <w:numPr>
                <w:ilvl w:val="0"/>
                <w:numId w:val="13"/>
              </w:numPr>
              <w:snapToGrid w:val="0"/>
              <w:spacing w:line="380" w:lineRule="exact"/>
              <w:rPr>
                <w:rFonts w:ascii="宋体" w:hAnsi="宋体"/>
                <w:sz w:val="24"/>
                <w:szCs w:val="24"/>
                <w:highlight w:val="none"/>
              </w:rPr>
            </w:pPr>
            <w:r>
              <w:rPr>
                <w:rFonts w:ascii="宋体" w:hAnsi="宋体"/>
                <w:sz w:val="24"/>
                <w:szCs w:val="24"/>
                <w:highlight w:val="none"/>
              </w:rPr>
              <w:t>成交</w:t>
            </w:r>
            <w:r>
              <w:rPr>
                <w:rFonts w:hint="eastAsia" w:ascii="宋体" w:hAnsi="宋体"/>
                <w:sz w:val="24"/>
                <w:szCs w:val="24"/>
                <w:highlight w:val="none"/>
              </w:rPr>
              <w:t>供应商</w:t>
            </w:r>
            <w:r>
              <w:rPr>
                <w:rFonts w:ascii="宋体" w:hAnsi="宋体"/>
                <w:sz w:val="24"/>
                <w:szCs w:val="24"/>
                <w:highlight w:val="none"/>
              </w:rPr>
              <w:t>未在规定时间内与采购</w:t>
            </w:r>
            <w:r>
              <w:rPr>
                <w:rFonts w:hint="eastAsia" w:ascii="宋体" w:hAnsi="宋体"/>
                <w:sz w:val="24"/>
                <w:szCs w:val="24"/>
                <w:highlight w:val="none"/>
              </w:rPr>
              <w:t>方</w:t>
            </w:r>
            <w:r>
              <w:rPr>
                <w:rFonts w:ascii="宋体" w:hAnsi="宋体"/>
                <w:sz w:val="24"/>
                <w:szCs w:val="24"/>
                <w:highlight w:val="none"/>
              </w:rPr>
              <w:t>签订合同的、或者被确定为成交</w:t>
            </w:r>
            <w:r>
              <w:rPr>
                <w:rFonts w:hint="eastAsia" w:ascii="宋体" w:hAnsi="宋体"/>
                <w:sz w:val="24"/>
                <w:szCs w:val="24"/>
                <w:highlight w:val="none"/>
              </w:rPr>
              <w:t>供应商</w:t>
            </w:r>
            <w:r>
              <w:rPr>
                <w:rFonts w:ascii="宋体" w:hAnsi="宋体"/>
                <w:sz w:val="24"/>
                <w:szCs w:val="24"/>
                <w:highlight w:val="none"/>
              </w:rPr>
              <w:t>后明确表示放弃成交的，采购</w:t>
            </w:r>
            <w:r>
              <w:rPr>
                <w:rFonts w:hint="eastAsia" w:ascii="宋体" w:hAnsi="宋体"/>
                <w:sz w:val="24"/>
                <w:szCs w:val="24"/>
                <w:highlight w:val="none"/>
              </w:rPr>
              <w:t>方</w:t>
            </w:r>
            <w:r>
              <w:rPr>
                <w:rFonts w:ascii="宋体" w:hAnsi="宋体"/>
                <w:sz w:val="24"/>
                <w:szCs w:val="24"/>
                <w:highlight w:val="none"/>
              </w:rPr>
              <w:t>将按照成交候选</w:t>
            </w:r>
            <w:r>
              <w:rPr>
                <w:rFonts w:hint="eastAsia" w:ascii="宋体" w:hAnsi="宋体"/>
                <w:sz w:val="24"/>
                <w:szCs w:val="24"/>
                <w:highlight w:val="none"/>
              </w:rPr>
              <w:t>供应商</w:t>
            </w:r>
            <w:r>
              <w:rPr>
                <w:rFonts w:ascii="宋体" w:hAnsi="宋体"/>
                <w:sz w:val="24"/>
                <w:szCs w:val="24"/>
                <w:highlight w:val="none"/>
              </w:rPr>
              <w:t>的排序重新确定成交</w:t>
            </w:r>
            <w:r>
              <w:rPr>
                <w:rFonts w:hint="eastAsia" w:ascii="宋体" w:hAnsi="宋体"/>
                <w:sz w:val="24"/>
                <w:szCs w:val="24"/>
                <w:highlight w:val="none"/>
              </w:rPr>
              <w:t>供应商。</w:t>
            </w:r>
          </w:p>
        </w:tc>
      </w:tr>
    </w:tbl>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42" w:name="_Toc7295_WPSOffice_Level2"/>
      <w:bookmarkStart w:id="43" w:name="_Toc28521_WPSOffice_Level1"/>
      <w:bookmarkStart w:id="44" w:name="_Toc14892_WPSOffice_Level1"/>
      <w:bookmarkStart w:id="45" w:name="_Toc2812_WPSOffice_Level1"/>
      <w:bookmarkStart w:id="46" w:name="_Toc23224_WPSOffice_Level1"/>
      <w:bookmarkStart w:id="47" w:name="_Toc16774_WPSOffice_Level1"/>
      <w:r>
        <w:rPr>
          <w:rFonts w:hint="eastAsia" w:ascii="宋体" w:hAnsi="Calibri" w:eastAsia="宋体" w:cs="宋体"/>
          <w:b/>
          <w:bCs/>
          <w:color w:val="000000"/>
          <w:kern w:val="0"/>
          <w:sz w:val="24"/>
          <w:szCs w:val="24"/>
          <w:lang w:val="en-US" w:eastAsia="zh-CN"/>
        </w:rPr>
        <w:t>谈判文件</w:t>
      </w:r>
      <w:bookmarkEnd w:id="42"/>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谈判邀请书</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谈判须知</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技术规格及要求</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合同主要条款</w:t>
      </w:r>
    </w:p>
    <w:p>
      <w:pPr>
        <w:pStyle w:val="77"/>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响应文件格式</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谈判文件的澄清和修改</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谈判文件的澄清</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highlight w:val="none"/>
        </w:rPr>
      </w:pPr>
      <w:r>
        <w:rPr>
          <w:rFonts w:hint="eastAsia" w:ascii="宋体" w:hAnsi="宋体" w:eastAsia="宋体"/>
          <w:b w:val="0"/>
          <w:sz w:val="24"/>
          <w:szCs w:val="24"/>
          <w:highlight w:val="none"/>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highlight w:val="none"/>
        </w:rPr>
        <w:t>复作为谈判文件的一部分，对报价方有约束力。</w:t>
      </w:r>
    </w:p>
    <w:p>
      <w:pPr>
        <w:pStyle w:val="77"/>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谈判文件的修改</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采购方可以在报价文件投递截止时间之前的任何时候对谈判文件进行修改。由于谈判文件的修改可适当延长报价文件投递截止时间。</w:t>
      </w:r>
      <w:r>
        <w:rPr>
          <w:rFonts w:hint="eastAsia" w:ascii="宋体" w:hAnsi="宋体" w:eastAsia="宋体"/>
          <w:b w:val="0"/>
          <w:sz w:val="24"/>
          <w:szCs w:val="24"/>
          <w:highlight w:val="none"/>
          <w:lang w:val="en-US" w:eastAsia="zh-CN"/>
        </w:rPr>
        <w:t>谈判</w:t>
      </w:r>
      <w:r>
        <w:rPr>
          <w:rFonts w:hint="eastAsia" w:ascii="宋体" w:hAnsi="宋体" w:eastAsia="宋体"/>
          <w:b w:val="0"/>
          <w:sz w:val="24"/>
          <w:szCs w:val="24"/>
          <w:highlight w:val="none"/>
        </w:rPr>
        <w:t>文件的修改将以相应网站公告的形式发布，或以书面形式发给已知每一个报价方，该修改书将构成</w:t>
      </w:r>
      <w:r>
        <w:rPr>
          <w:rFonts w:hint="eastAsia" w:ascii="宋体" w:hAnsi="宋体" w:eastAsia="宋体"/>
          <w:b w:val="0"/>
          <w:sz w:val="24"/>
          <w:szCs w:val="24"/>
          <w:highlight w:val="none"/>
          <w:lang w:val="en-US" w:eastAsia="zh-CN"/>
        </w:rPr>
        <w:t>谈判</w:t>
      </w:r>
      <w:r>
        <w:rPr>
          <w:rFonts w:hint="eastAsia" w:ascii="宋体" w:hAnsi="宋体" w:eastAsia="宋体"/>
          <w:b w:val="0"/>
          <w:sz w:val="24"/>
          <w:szCs w:val="24"/>
          <w:highlight w:val="none"/>
        </w:rPr>
        <w:t>文件的一部分，对</w:t>
      </w:r>
      <w:r>
        <w:rPr>
          <w:rFonts w:hint="eastAsia" w:ascii="宋体" w:hAnsi="宋体" w:eastAsia="宋体"/>
          <w:b w:val="0"/>
          <w:sz w:val="24"/>
          <w:szCs w:val="24"/>
          <w:highlight w:val="none"/>
          <w:lang w:val="en-US" w:eastAsia="zh-CN"/>
        </w:rPr>
        <w:t>报价方</w:t>
      </w:r>
      <w:r>
        <w:rPr>
          <w:rFonts w:hint="eastAsia" w:ascii="宋体" w:hAnsi="宋体" w:eastAsia="宋体"/>
          <w:b w:val="0"/>
          <w:sz w:val="24"/>
          <w:szCs w:val="24"/>
          <w:highlight w:val="none"/>
        </w:rPr>
        <w:t>有约束力。</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响应文件的编制</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48" w:name="_Toc1802_WPSOffice_Level2"/>
      <w:bookmarkStart w:id="49" w:name="_Toc24455233"/>
      <w:bookmarkStart w:id="50" w:name="_Toc293413480"/>
      <w:bookmarkStart w:id="51" w:name="_Toc12004_WPSOffice_Level2"/>
      <w:bookmarkStart w:id="52" w:name="_Toc260230612"/>
      <w:bookmarkStart w:id="53" w:name="_Toc229281571"/>
      <w:bookmarkStart w:id="54" w:name="_Toc260238416"/>
      <w:bookmarkStart w:id="55" w:name="_Toc17624_WPSOffice_Level2"/>
      <w:bookmarkStart w:id="56" w:name="_Toc28706_WPSOffice_Level2"/>
      <w:bookmarkStart w:id="57" w:name="_Toc33340838"/>
      <w:bookmarkStart w:id="58" w:name="_Toc24083813"/>
      <w:r>
        <w:rPr>
          <w:rFonts w:hint="eastAsia" w:ascii="宋体" w:hAnsi="Calibri" w:eastAsia="宋体" w:cs="宋体"/>
          <w:b w:val="0"/>
          <w:bCs w:val="0"/>
          <w:color w:val="000000"/>
          <w:kern w:val="0"/>
          <w:sz w:val="24"/>
          <w:szCs w:val="24"/>
          <w:lang w:val="en-US" w:eastAsia="zh-CN"/>
        </w:rPr>
        <w:t>响应函；</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报价表；</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法定代表人身份证明书；</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法人授权委托书（报价签字非法定代表人签署需出具）；</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关于资格的声明函；</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报价方廉洁承诺书；</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企业能有效识别二维码且加盖报价单位公章的营业执照复印件；</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企业加盖报价单位公章的相关资质证明文件；</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提供自2018年1月1日起至报价截止日期，报价方必须具备国内不少于3个水平衡测试的业绩，并提供合同复印件</w:t>
      </w:r>
      <w:r>
        <w:rPr>
          <w:rFonts w:hint="eastAsia" w:ascii="宋体" w:hAnsi="Calibri" w:cs="宋体"/>
          <w:b w:val="0"/>
          <w:bCs w:val="0"/>
          <w:color w:val="000000"/>
          <w:kern w:val="0"/>
          <w:sz w:val="24"/>
          <w:szCs w:val="24"/>
          <w:lang w:val="en-US" w:eastAsia="zh-CN"/>
        </w:rPr>
        <w:t>；</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质量保证和售后服务承诺书；</w:t>
      </w:r>
    </w:p>
    <w:p>
      <w:pPr>
        <w:pStyle w:val="77"/>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报价方认为需要提供的其他资料。</w:t>
      </w:r>
    </w:p>
    <w:bookmarkEnd w:id="48"/>
    <w:bookmarkEnd w:id="49"/>
    <w:bookmarkEnd w:id="50"/>
    <w:bookmarkEnd w:id="51"/>
    <w:bookmarkEnd w:id="52"/>
    <w:bookmarkEnd w:id="53"/>
    <w:bookmarkEnd w:id="54"/>
    <w:bookmarkEnd w:id="55"/>
    <w:bookmarkEnd w:id="56"/>
    <w:bookmarkEnd w:id="57"/>
    <w:bookmarkEnd w:id="58"/>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报价文件的递交</w:t>
      </w:r>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报价文件的递交。报价方必须按报价邀请书的要求在规定的时间内将报价文件送达规定的地点。</w:t>
      </w:r>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迟到的报价文件。采购方对于迟到的报价文件有权拒绝接收。</w:t>
      </w:r>
    </w:p>
    <w:p>
      <w:pPr>
        <w:pStyle w:val="77"/>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59" w:name="_Toc19491_WPSOffice_Level2"/>
      <w:bookmarkStart w:id="60" w:name="_Toc7288_WPSOffice_Level2"/>
      <w:bookmarkStart w:id="61" w:name="_Toc14599_WPSOffice_Level2"/>
      <w:bookmarkStart w:id="62" w:name="_Toc24083814"/>
      <w:bookmarkStart w:id="63" w:name="_Toc24455234"/>
      <w:bookmarkStart w:id="64" w:name="_Toc33340839"/>
      <w:bookmarkStart w:id="65" w:name="_Toc260238417"/>
      <w:bookmarkStart w:id="66" w:name="_Toc22570_WPSOffice_Level2"/>
      <w:bookmarkStart w:id="67" w:name="_Toc229281572"/>
      <w:bookmarkStart w:id="68" w:name="_Toc293413481"/>
      <w:bookmarkStart w:id="69" w:name="_Toc260230613"/>
      <w:r>
        <w:rPr>
          <w:rFonts w:hint="eastAsia" w:ascii="宋体" w:hAnsi="Calibri" w:eastAsia="宋体" w:cs="宋体"/>
          <w:b/>
          <w:bCs/>
          <w:color w:val="000000"/>
          <w:kern w:val="0"/>
          <w:sz w:val="24"/>
          <w:szCs w:val="24"/>
          <w:lang w:val="en-US" w:eastAsia="zh-CN"/>
        </w:rPr>
        <w:t>谈判与评</w:t>
      </w:r>
      <w:bookmarkEnd w:id="59"/>
      <w:bookmarkEnd w:id="60"/>
      <w:bookmarkEnd w:id="61"/>
      <w:bookmarkEnd w:id="62"/>
      <w:bookmarkEnd w:id="63"/>
      <w:bookmarkEnd w:id="64"/>
      <w:bookmarkEnd w:id="65"/>
      <w:bookmarkEnd w:id="66"/>
      <w:bookmarkEnd w:id="67"/>
      <w:bookmarkEnd w:id="68"/>
      <w:bookmarkEnd w:id="69"/>
      <w:r>
        <w:rPr>
          <w:rFonts w:hint="eastAsia" w:ascii="宋体" w:hAnsi="Calibri" w:eastAsia="宋体" w:cs="宋体"/>
          <w:b/>
          <w:bCs/>
          <w:color w:val="000000"/>
          <w:kern w:val="0"/>
          <w:sz w:val="24"/>
          <w:szCs w:val="24"/>
          <w:lang w:val="en-US" w:eastAsia="zh-CN"/>
        </w:rPr>
        <w:t>审</w:t>
      </w:r>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采购方将按照采购公告中规定的时间，在厦门市海沧区阳光西路288号厦门海发环保能源股份有限公司二楼开标室谈判。</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谈判时欢迎所有报价方参加谈判会议，报价方代表应签名以证明其出席谈判会议，报价方因故不能派代表出席谈判会议的，视为默认谈判结果。</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报价方代表可监督检查报价文件的密封情况。</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谈判时，报价文件有下列情况之一者将被视为废标。</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报价文件未标识和密封；</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报价文件密封处未加盖报价方公章；</w:t>
      </w:r>
    </w:p>
    <w:p>
      <w:pPr>
        <w:pStyle w:val="77"/>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报价截止时间以后送达的报价文件。</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70" w:name="_Toc445991603"/>
      <w:bookmarkStart w:id="71" w:name="_Toc422416153"/>
      <w:bookmarkStart w:id="72" w:name="_Toc457383223"/>
      <w:bookmarkStart w:id="73" w:name="_Toc421773672"/>
      <w:bookmarkStart w:id="74" w:name="_Toc420577581"/>
      <w:bookmarkStart w:id="75" w:name="_Toc445901129"/>
      <w:bookmarkStart w:id="76" w:name="_Toc444614425"/>
      <w:bookmarkStart w:id="77" w:name="_Toc445748261"/>
      <w:bookmarkStart w:id="78" w:name="_Toc441500070"/>
      <w:bookmarkStart w:id="79" w:name="_Toc418522815"/>
      <w:bookmarkStart w:id="80" w:name="_Toc449373772"/>
      <w:bookmarkStart w:id="81" w:name="_Toc462647056"/>
      <w:bookmarkStart w:id="82" w:name="_Toc449635679"/>
      <w:bookmarkStart w:id="83" w:name="_Toc439661731"/>
      <w:bookmarkStart w:id="84" w:name="_Toc425266324"/>
      <w:bookmarkStart w:id="85" w:name="_Toc422906617"/>
      <w:bookmarkStart w:id="86" w:name="_Toc440899515"/>
      <w:bookmarkStart w:id="87" w:name="_Toc441224335"/>
      <w:r>
        <w:rPr>
          <w:rFonts w:hint="eastAsia" w:ascii="宋体" w:hAnsi="Calibri" w:eastAsia="宋体" w:cs="宋体"/>
          <w:b w:val="0"/>
          <w:bCs w:val="0"/>
          <w:color w:val="000000"/>
          <w:kern w:val="0"/>
          <w:sz w:val="24"/>
          <w:szCs w:val="24"/>
          <w:lang w:val="en-US" w:eastAsia="zh-CN"/>
        </w:rPr>
        <w:t>本项目若属于首次进行竞争性谈判采购的，在谈判过程中出现下列情况的，本次谈判失败。</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在规定的报价截止时间前递交报价文件的供应商不足三家的；</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能满足采购文件实质性要求的有效供应商不足三家的；</w:t>
      </w:r>
    </w:p>
    <w:p>
      <w:pPr>
        <w:pStyle w:val="77"/>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首次报价或最终报价未超过采购最高限价的有效供应商不足三家的。</w:t>
      </w:r>
    </w:p>
    <w:p>
      <w:pPr>
        <w:pStyle w:val="77"/>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77"/>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评审原则</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评审谈判小组对具备实质性的报价文件进行评估和比较。评审谈判小组成员由采购方相关人员组成，评审谈判小组将严格按照谈判文件的要求和条件对所有报价文件进行评审。</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符合性审查，如发现下列情况之一，将按废标处理。</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资格证明文件不全的；</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报价文件未按谈判文件规定盖报价单位公章及签字；</w:t>
      </w:r>
    </w:p>
    <w:p>
      <w:pPr>
        <w:pStyle w:val="77"/>
        <w:keepNext w:val="0"/>
        <w:keepLines w:val="0"/>
        <w:pageBreakBefore w:val="0"/>
        <w:widowControl w:val="0"/>
        <w:numPr>
          <w:ilvl w:val="0"/>
          <w:numId w:val="2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报价文件附有采购方不能接受的条件的。</w:t>
      </w:r>
      <w:bookmarkStart w:id="88" w:name="_Toc260230614"/>
      <w:bookmarkStart w:id="89" w:name="_Toc24083815"/>
      <w:bookmarkStart w:id="90" w:name="_Toc33340840"/>
      <w:bookmarkStart w:id="91" w:name="_Toc24456368"/>
      <w:bookmarkStart w:id="92" w:name="_Toc24711813"/>
      <w:bookmarkStart w:id="93" w:name="_Toc24455235"/>
      <w:bookmarkStart w:id="94" w:name="_Toc7598_WPSOffice_Level2"/>
      <w:bookmarkStart w:id="95" w:name="_Toc18016_WPSOffice_Level2"/>
      <w:bookmarkStart w:id="96" w:name="_Toc18499_WPSOffice_Level2"/>
      <w:bookmarkStart w:id="97" w:name="_Toc293413482"/>
      <w:bookmarkStart w:id="98" w:name="_Toc260238418"/>
      <w:bookmarkStart w:id="99" w:name="_Toc26749_WPSOffice_Level2"/>
      <w:bookmarkStart w:id="100" w:name="_Toc229281573"/>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谈判小组从通过资格和符合性审查且报价最低的前三位报价方进行谈判。</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谈判小组与报价方就谈判文件技术、商务、合同条款等内容进行谈判，报价方第二次报价不得高于第一次报价；报价方代表未到谈判现场，视为维持谈判文件和报价价格不变。</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谈判过程中，报价方提交的澄清文件和最终承诺书，应由报价方法定代表人或授权代表签署后生效，报价方应受其约束。</w:t>
      </w:r>
    </w:p>
    <w:p>
      <w:pPr>
        <w:pStyle w:val="77"/>
        <w:keepNext w:val="0"/>
        <w:keepLines w:val="0"/>
        <w:pageBreakBefore w:val="0"/>
        <w:widowControl w:val="0"/>
        <w:numPr>
          <w:ilvl w:val="0"/>
          <w:numId w:val="2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本次谈判采用经评审合格最低价成交法。评审小组从通过资格和符合性审查且报价最低的前三位报价方进行谈判。谈判过程中如报价方代表未到现场，视为谈判报价维持采购文件报价价格不变，谈判报价最低者确定为成交供应商。</w:t>
      </w:r>
    </w:p>
    <w:p>
      <w:pPr>
        <w:pStyle w:val="77"/>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合同的授予</w:t>
      </w:r>
      <w:bookmarkEnd w:id="88"/>
      <w:bookmarkEnd w:id="89"/>
      <w:bookmarkEnd w:id="90"/>
      <w:bookmarkEnd w:id="91"/>
      <w:bookmarkEnd w:id="92"/>
      <w:bookmarkEnd w:id="93"/>
      <w:bookmarkEnd w:id="94"/>
      <w:bookmarkEnd w:id="95"/>
      <w:bookmarkEnd w:id="96"/>
      <w:bookmarkEnd w:id="97"/>
      <w:bookmarkEnd w:id="98"/>
      <w:bookmarkEnd w:id="99"/>
      <w:bookmarkEnd w:id="100"/>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合同授予的条件</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采购方将根据评标意见，把合同授予其报价文件在实质上响应谈判文件要求的报价方，被确定的成交供应商必须具有实施本合同的能力和资源。</w:t>
      </w:r>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成交通知书</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评标结束后，采购方根据评标结果，在报价文件有效期截止前向成交供应商发出《成交通知书》。《成交通知书》是合同文件的组成部分。</w:t>
      </w:r>
    </w:p>
    <w:p>
      <w:pPr>
        <w:pStyle w:val="77"/>
        <w:keepNext w:val="0"/>
        <w:keepLines w:val="0"/>
        <w:pageBreakBefore w:val="0"/>
        <w:widowControl w:val="0"/>
        <w:numPr>
          <w:ilvl w:val="0"/>
          <w:numId w:val="2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签订合同</w:t>
      </w:r>
    </w:p>
    <w:p>
      <w:pPr>
        <w:pStyle w:val="77"/>
        <w:keepNext w:val="0"/>
        <w:keepLines w:val="0"/>
        <w:pageBreakBefore w:val="0"/>
        <w:widowControl w:val="0"/>
        <w:numPr>
          <w:ilvl w:val="0"/>
          <w:numId w:val="2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成交供应商应在接到成交通知书后30天内，与采购方尽快签订合同，采购方和成交供应商不得另行订立背离合同实质性内容的其它协议。</w:t>
      </w:r>
    </w:p>
    <w:p>
      <w:pPr>
        <w:pStyle w:val="77"/>
        <w:keepNext w:val="0"/>
        <w:keepLines w:val="0"/>
        <w:pageBreakBefore w:val="0"/>
        <w:widowControl w:val="0"/>
        <w:numPr>
          <w:ilvl w:val="0"/>
          <w:numId w:val="2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成交供应商因不可抗力或者自身原因不能履行采购合同的，采购方可以与排在成交供应商之后第一位的成交候选供应商签订采购合同，以此类推。</w:t>
      </w: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rPr>
          <w:rFonts w:hint="eastAsia"/>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第三部分 技术规格及要求</w:t>
      </w:r>
      <w:bookmarkEnd w:id="43"/>
      <w:bookmarkEnd w:id="44"/>
      <w:bookmarkEnd w:id="45"/>
      <w:bookmarkEnd w:id="46"/>
      <w:bookmarkEnd w:id="47"/>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总则</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本技术规范书适用于厦门海发环保能源股份有限公司新阳热电事业部</w:t>
      </w:r>
      <w:r>
        <w:rPr>
          <w:rFonts w:ascii="宋体" w:hAnsi="宋体"/>
          <w:sz w:val="24"/>
          <w:szCs w:val="24"/>
          <w:highlight w:val="none"/>
        </w:rPr>
        <w:t>2022</w:t>
      </w:r>
      <w:r>
        <w:rPr>
          <w:rFonts w:hint="eastAsia" w:ascii="宋体" w:hAnsi="宋体"/>
          <w:sz w:val="24"/>
          <w:szCs w:val="24"/>
          <w:highlight w:val="none"/>
        </w:rPr>
        <w:t>年</w:t>
      </w:r>
      <w:r>
        <w:rPr>
          <w:rFonts w:hint="eastAsia" w:ascii="宋体" w:hAnsi="Calibri" w:eastAsia="宋体" w:cs="宋体"/>
          <w:b w:val="0"/>
          <w:bCs w:val="0"/>
          <w:color w:val="000000"/>
          <w:kern w:val="0"/>
          <w:sz w:val="24"/>
          <w:szCs w:val="24"/>
          <w:lang w:val="en-US" w:eastAsia="zh-CN"/>
        </w:rPr>
        <w:t>厂区水量平衡测试项目，报价方应对所有内容完全响应，否则将导致无效报价。</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报价方应根据采购方的实际要求及现场踏勘结果进行报价，报价方应充分考虑谈判文件的遗漏项目，并在报价文件中提出，报价应包含所有遗漏项目的一切费用，报价方须充分考虑该因素，风险包干。</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报价方提供的项目标准及技术规范等参照《企业水平衡与测试通则》GB/T 12452-2008，必须符合国家和行业规定标准、规范要求。</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报价方提供详细的审核组织方案，包括：人员组织、方案编制、审核进度计划等。</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若成交供应商在项目审核过程中的行为被公众、媒体、知名网上论坛报道、议论而对采购方形象不利，或者导致采购方被相关政府部门追究问责的，成交供应商需承担因此产生的法律责任并赔偿采购方的经济损失。</w:t>
      </w:r>
    </w:p>
    <w:p>
      <w:pPr>
        <w:pStyle w:val="77"/>
        <w:keepNext w:val="0"/>
        <w:keepLines w:val="0"/>
        <w:pageBreakBefore w:val="0"/>
        <w:widowControl w:val="0"/>
        <w:numPr>
          <w:ilvl w:val="0"/>
          <w:numId w:val="2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涉及与有关行业部门的事宜、费用均由报价方自行处理，确保项目最终合格、合法交付采购方投入使用。</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标准和规范</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《企业水平衡与测试通则》GB/T 12452-2008</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《节水型企业评价导则》GB/T 7119-2018</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《工业企业用水管理导则》GB/T 27886-2011</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《取水定额》（所有部分）GB/T 18916</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 xml:space="preserve">《用水单位水计量器具配备和管理通则》GB 24789-2009 </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《冷水水表检定规程》JJG 162-2009</w:t>
      </w:r>
    </w:p>
    <w:p>
      <w:pPr>
        <w:pStyle w:val="77"/>
        <w:keepNext w:val="0"/>
        <w:keepLines w:val="0"/>
        <w:pageBreakBefore w:val="0"/>
        <w:widowControl w:val="0"/>
        <w:numPr>
          <w:ilvl w:val="0"/>
          <w:numId w:val="2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《厦门市城市供水节水条例》</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01" w:name="_Toc23236_WPSOffice_Level2"/>
      <w:bookmarkStart w:id="102" w:name="_Toc6361_WPSOffice_Level2"/>
      <w:bookmarkStart w:id="103" w:name="_Toc14914_WPSOffice_Level2"/>
      <w:bookmarkStart w:id="104" w:name="_Toc14976_WPSOffice_Level2"/>
      <w:r>
        <w:rPr>
          <w:rFonts w:hint="eastAsia" w:ascii="宋体" w:hAnsi="Calibri" w:eastAsia="宋体" w:cs="宋体"/>
          <w:b/>
          <w:bCs/>
          <w:color w:val="000000"/>
          <w:kern w:val="0"/>
          <w:sz w:val="24"/>
          <w:szCs w:val="24"/>
          <w:lang w:val="en-US" w:eastAsia="zh-CN"/>
        </w:rPr>
        <w:t>服务范围和要求</w:t>
      </w:r>
      <w:bookmarkEnd w:id="101"/>
      <w:bookmarkEnd w:id="102"/>
      <w:bookmarkEnd w:id="103"/>
      <w:bookmarkEnd w:id="104"/>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2022年厂区水量平衡测试项目的现场勘察、设备更换、评估、验收等方面的要求。</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bCs/>
          <w:sz w:val="24"/>
          <w:szCs w:val="24"/>
          <w:highlight w:val="none"/>
        </w:rPr>
      </w:pPr>
      <w:r>
        <w:rPr>
          <w:rFonts w:hint="eastAsia" w:ascii="宋体" w:hAnsi="Calibri" w:eastAsia="宋体" w:cs="宋体"/>
          <w:b w:val="0"/>
          <w:bCs w:val="0"/>
          <w:color w:val="000000"/>
          <w:kern w:val="0"/>
          <w:sz w:val="24"/>
          <w:szCs w:val="24"/>
          <w:lang w:val="en-US" w:eastAsia="zh-CN"/>
        </w:rPr>
        <w:t>现场勘察</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bCs/>
          <w:sz w:val="24"/>
          <w:szCs w:val="24"/>
          <w:highlight w:val="none"/>
        </w:rPr>
      </w:pPr>
      <w:r>
        <w:rPr>
          <w:rFonts w:hint="eastAsia"/>
          <w:bCs/>
          <w:sz w:val="24"/>
          <w:szCs w:val="24"/>
          <w:highlight w:val="none"/>
        </w:rPr>
        <w:t>根据实际情况，安排水平衡测试专业技术人员对公司内的给水管线进行复核检查，对照核查现场用水点布局变化和给水管网调整的具体实际情况，按水平衡相关标准重新整理绘制公司内部详细的给排水管网图（包括给排水总平面图、给排水系统图等）。调查各用水部门和设备的用水基本情况，将各类用水设施、用水器具的类型等登记列册，搞清水的用途、来源和去向等。</w:t>
      </w:r>
    </w:p>
    <w:p>
      <w:pPr>
        <w:pStyle w:val="77"/>
        <w:keepNext w:val="0"/>
        <w:keepLines w:val="0"/>
        <w:pageBreakBefore w:val="0"/>
        <w:widowControl w:val="0"/>
        <w:numPr>
          <w:ilvl w:val="0"/>
          <w:numId w:val="3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完善内部水表计量</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default" w:eastAsia="宋体"/>
          <w:bCs/>
          <w:sz w:val="24"/>
          <w:szCs w:val="24"/>
          <w:highlight w:val="none"/>
          <w:lang w:val="en-US" w:eastAsia="zh-CN"/>
        </w:rPr>
      </w:pPr>
      <w:r>
        <w:rPr>
          <w:rFonts w:hint="eastAsia"/>
          <w:bCs/>
          <w:sz w:val="24"/>
          <w:szCs w:val="24"/>
          <w:highlight w:val="none"/>
        </w:rPr>
        <w:t>通过对厂区内用水状况的勘察，并且根据绘制出的图纸，在相关人员的配合下，应有效计量用水区域制定不影响正常运营的合理、完善的装表方案。满足厦门市对水平衡测试要求和查漏的要求。根据水平衡测试的需要，经现场勘测后，在需要计量统计分析的用水点位置安装水表进行计量，提供第一手的数据资料，进行水平衡测试报告作业，并在将来进行用水管理提供平台，让用水合理化，制度化。</w:t>
      </w:r>
      <w:r>
        <w:rPr>
          <w:rFonts w:hint="eastAsia"/>
          <w:bCs/>
          <w:sz w:val="24"/>
          <w:szCs w:val="24"/>
          <w:highlight w:val="none"/>
          <w:lang w:val="en-US" w:eastAsia="zh-CN"/>
        </w:rPr>
        <w:t>结合水平衡测试对下列水表进行更换。</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right="0" w:rightChars="0"/>
        <w:jc w:val="center"/>
        <w:textAlignment w:val="auto"/>
        <w:rPr>
          <w:rFonts w:hint="default"/>
          <w:b/>
          <w:bCs w:val="0"/>
          <w:sz w:val="24"/>
          <w:szCs w:val="24"/>
          <w:highlight w:val="none"/>
          <w:lang w:val="en-US" w:eastAsia="zh-CN"/>
        </w:rPr>
      </w:pPr>
      <w:r>
        <w:rPr>
          <w:rFonts w:hint="eastAsia"/>
          <w:b/>
          <w:bCs w:val="0"/>
          <w:sz w:val="24"/>
          <w:szCs w:val="24"/>
          <w:highlight w:val="none"/>
          <w:lang w:val="en-US" w:eastAsia="zh-CN"/>
        </w:rPr>
        <w:t>拟更换</w:t>
      </w:r>
      <w:r>
        <w:rPr>
          <w:rFonts w:hint="eastAsia"/>
          <w:b/>
          <w:bCs w:val="0"/>
          <w:sz w:val="24"/>
          <w:szCs w:val="24"/>
          <w:highlight w:val="none"/>
          <w:lang w:eastAsia="zh-CN"/>
        </w:rPr>
        <w:t>水表清单</w:t>
      </w:r>
      <w:r>
        <w:rPr>
          <w:rFonts w:hint="eastAsia"/>
          <w:b/>
          <w:bCs w:val="0"/>
          <w:sz w:val="24"/>
          <w:szCs w:val="24"/>
          <w:highlight w:val="none"/>
          <w:lang w:val="en-US" w:eastAsia="zh-CN"/>
        </w:rPr>
        <w:t>表</w:t>
      </w:r>
    </w:p>
    <w:tbl>
      <w:tblPr>
        <w:tblStyle w:val="2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399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序号</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规格型号</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水表位置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DN150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循环水池补水水表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DN150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冲灰泵出水水表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DN100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重复利用回用水池补水水表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DN65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重复利用干灰库水表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DN65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消防水泵出水水表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DN65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生活水泵出口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DN65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办公楼男卫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DN65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办公楼女卫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DN50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生活水池进水水表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DN50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主厂房屋顶消防水箱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绿化及道路喷洒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化水车间卫生间、地磅用水水表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13</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DN20 水平旋翼式</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煤库外侧水表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14</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立式表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洗车场水表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15</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立式表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除尘空压机房卫生间水表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16</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立式表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食堂厨房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17</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立式表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食堂洗手池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18</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DN25 立式表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集控洗手间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19</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DN15 立式表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主控茶水间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20</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DN300 上海大肚水表特种规格</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公用水池补水水表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21</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DN65 上海大肚水表特种规格</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脱硝除尘1号炉水表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22</w:t>
            </w:r>
          </w:p>
        </w:tc>
        <w:tc>
          <w:tcPr>
            <w:tcW w:w="21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DN50 上海大肚水表特种规格</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8"/>
              <w:spacing w:before="145"/>
              <w:ind w:left="82" w:right="80"/>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脱硝除尘3号炉水表</w:t>
            </w:r>
          </w:p>
        </w:tc>
      </w:tr>
    </w:tbl>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对管网的安全进行确</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bCs/>
          <w:sz w:val="24"/>
          <w:szCs w:val="24"/>
          <w:highlight w:val="none"/>
        </w:rPr>
      </w:pPr>
      <w:r>
        <w:rPr>
          <w:rFonts w:hint="eastAsia"/>
          <w:bCs/>
          <w:sz w:val="24"/>
          <w:szCs w:val="24"/>
          <w:highlight w:val="none"/>
        </w:rPr>
        <w:t>根据厂区用水状况的勘察和完善的内部水表计量，安排技术人员对数据进行统计和图纸进行分析，针对现场的实际情况，用静态法和动态法确定管网的安全。协助查出是否存在漏水，提出最合理的解决方法。在实测前完成查漏和堵漏，并且提供一份合理化管网分析方案，为以后的测试提供准确的数据，同时进行管道压力测试，检查管道压力是否在市政允许范围内，防止水管因压力过高，致使阀门泄漏及爆管。造成水资源浪费。</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初步进行水平衡测试</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bCs/>
          <w:sz w:val="24"/>
          <w:szCs w:val="24"/>
          <w:highlight w:val="none"/>
        </w:rPr>
      </w:pPr>
      <w:r>
        <w:rPr>
          <w:rFonts w:hint="eastAsia"/>
          <w:bCs/>
          <w:sz w:val="24"/>
          <w:szCs w:val="24"/>
          <w:highlight w:val="none"/>
        </w:rPr>
        <w:t>根据厂区实际情况，安排工程技术人员对整个用水单位进行水平衡的初步测试，对确实应加强管理的地方和用水不合理的项目提出改进措施。在相互之间的配合下尽可能在最短的时间内完成。由此形成详细水平衡测试方案，报市节水办，在节水办批复后开始水平衡测试工作。</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实施水平衡测试</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bCs/>
          <w:sz w:val="24"/>
          <w:szCs w:val="24"/>
          <w:highlight w:val="none"/>
        </w:rPr>
      </w:pPr>
      <w:r>
        <w:rPr>
          <w:rFonts w:hint="eastAsia"/>
          <w:bCs/>
          <w:sz w:val="24"/>
          <w:szCs w:val="24"/>
          <w:highlight w:val="none"/>
        </w:rPr>
        <w:t>待管网安全确认和整改完成后，安排水平衡专业测试的工程技术人员，对厂区内的整个用水点进行水平衡测试。</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分析统计</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bCs/>
          <w:sz w:val="24"/>
          <w:szCs w:val="24"/>
          <w:highlight w:val="none"/>
        </w:rPr>
      </w:pPr>
      <w:r>
        <w:rPr>
          <w:rFonts w:hint="eastAsia"/>
          <w:bCs/>
          <w:sz w:val="24"/>
          <w:szCs w:val="24"/>
          <w:highlight w:val="none"/>
        </w:rPr>
        <w:t>对测试过程中所采集的数据进行统计分析。制图人员进行最终水平衡图、管网图和水表网络图等的绘制，完成水平衡测试报告并制成光盘</w:t>
      </w:r>
      <w:r>
        <w:rPr>
          <w:rFonts w:hint="eastAsia"/>
          <w:bCs/>
          <w:sz w:val="24"/>
          <w:szCs w:val="24"/>
          <w:highlight w:val="none"/>
          <w:lang w:val="en-US" w:eastAsia="zh-CN"/>
        </w:rPr>
        <w:t>等电子版文件</w:t>
      </w:r>
      <w:r>
        <w:rPr>
          <w:rFonts w:hint="eastAsia"/>
          <w:bCs/>
          <w:sz w:val="24"/>
          <w:szCs w:val="24"/>
          <w:highlight w:val="none"/>
        </w:rPr>
        <w:t>报厦门市节约用水办公室审核。</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整改及验收</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bCs/>
          <w:sz w:val="24"/>
          <w:szCs w:val="24"/>
          <w:highlight w:val="none"/>
        </w:rPr>
      </w:pPr>
      <w:r>
        <w:rPr>
          <w:rFonts w:hint="eastAsia"/>
          <w:bCs/>
          <w:sz w:val="24"/>
          <w:szCs w:val="24"/>
          <w:highlight w:val="none"/>
        </w:rPr>
        <w:t>针对测试的成果和专家组提出的意见，制定相应的整改方案和用水合理化分析方案，包括日常用水管理制度、各个用水单元的用水情况、水重复利用情况、各个区域的节水潜力方案、管网安全分析方案等，并完成此次水平衡测试工作。</w:t>
      </w:r>
    </w:p>
    <w:p>
      <w:pPr>
        <w:pStyle w:val="77"/>
        <w:keepNext w:val="0"/>
        <w:keepLines w:val="0"/>
        <w:pageBreakBefore w:val="0"/>
        <w:widowControl w:val="0"/>
        <w:numPr>
          <w:ilvl w:val="0"/>
          <w:numId w:val="3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申报用水计划及评选节水型企业</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bCs/>
          <w:sz w:val="24"/>
          <w:szCs w:val="24"/>
          <w:highlight w:val="none"/>
        </w:rPr>
      </w:pPr>
      <w:r>
        <w:rPr>
          <w:rFonts w:hint="eastAsia"/>
          <w:bCs/>
          <w:sz w:val="24"/>
          <w:szCs w:val="24"/>
          <w:highlight w:val="none"/>
        </w:rPr>
        <w:t>根据水平衡测试的实际情况，申请一个充裕的计划用水指标，水平衡测试完成后不再产生加价水费，减</w:t>
      </w:r>
      <w:r>
        <w:rPr>
          <w:rFonts w:hint="eastAsia"/>
          <w:bCs/>
          <w:sz w:val="24"/>
          <w:szCs w:val="24"/>
          <w:highlight w:val="none"/>
          <w:lang w:val="en-US" w:eastAsia="zh-CN"/>
        </w:rPr>
        <w:t>少</w:t>
      </w:r>
      <w:r>
        <w:rPr>
          <w:rFonts w:hint="eastAsia"/>
          <w:bCs/>
          <w:sz w:val="24"/>
          <w:szCs w:val="24"/>
          <w:highlight w:val="none"/>
        </w:rPr>
        <w:t>公司不必要的支出。并在三年内如有出现加价水费之前，协助处理。同时协助我司编制节水先进单位的资料及相关事务的处理，申报节水先进单位，节水型企业用水指标申请会给予优先审批指标。</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 xml:space="preserve"> 质量要求及售后服务</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成交供应商必须保证提供原产、正宗品牌的全新材料，不得用假冒及伪劣材料替代；如出现上述质量问题，采购方有权退货；如造成损失的，采购方可要求成交供应商给予赔偿。</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报价人应在报价文件中提供详细的质量保证和售后服务方案承诺书，并加盖报价人公章。</w:t>
      </w:r>
    </w:p>
    <w:p>
      <w:pPr>
        <w:pStyle w:val="77"/>
        <w:keepNext w:val="0"/>
        <w:keepLines w:val="0"/>
        <w:pageBreakBefore w:val="0"/>
        <w:widowControl w:val="0"/>
        <w:numPr>
          <w:ilvl w:val="0"/>
          <w:numId w:val="3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质量保证期为项目经采购方组织验收，最终验收合格之日起两年。在质保期内发生问题，成交供应商必须在24小时内到达现场，提交确实可行的方案并解决问题，其费用由成交供应商自行负责。</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05" w:name="_Toc8124_WPSOffice_Level2"/>
      <w:bookmarkStart w:id="106" w:name="_Toc24065_WPSOffice_Level2"/>
      <w:bookmarkStart w:id="107" w:name="_Toc4436_WPSOffice_Level2"/>
      <w:bookmarkStart w:id="108" w:name="_Toc5232_WPSOffice_Level2"/>
      <w:r>
        <w:rPr>
          <w:rFonts w:hint="eastAsia" w:ascii="宋体" w:hAnsi="Calibri" w:eastAsia="宋体" w:cs="宋体"/>
          <w:b/>
          <w:bCs/>
          <w:color w:val="000000"/>
          <w:kern w:val="0"/>
          <w:sz w:val="24"/>
          <w:szCs w:val="24"/>
          <w:lang w:val="en-US" w:eastAsia="zh-CN"/>
        </w:rPr>
        <w:t>验收标准</w:t>
      </w:r>
      <w:bookmarkEnd w:id="105"/>
      <w:bookmarkEnd w:id="106"/>
      <w:bookmarkEnd w:id="107"/>
      <w:bookmarkEnd w:id="108"/>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本次施工采用的设备、材料、安全设施等必须符合国家的标准规定。</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验收依据：谈判文件、报价文件、厂家货物技术标准说明及国家有关的质量标准规定，均为验收依据。</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成交供应商交货验收：材料交货验收时，必须提供材料的相关手续、产品合格证、产品出厂检验报告等。</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资料要求：必须提供合格的水平衡测试报告及相关资料。</w:t>
      </w:r>
    </w:p>
    <w:p>
      <w:pPr>
        <w:pStyle w:val="77"/>
        <w:keepNext w:val="0"/>
        <w:keepLines w:val="0"/>
        <w:pageBreakBefore w:val="0"/>
        <w:widowControl w:val="0"/>
        <w:numPr>
          <w:ilvl w:val="0"/>
          <w:numId w:val="3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验收标准：根据《企业水平衡与测试通则》GB/T 12452-2008和《节水型企业评价导则》GB/T 7119-2018，完成厦门海发环保能源股份有限公司2022年厂区水量平衡测试项目，直至通过厦门市节约用水办公室审核合格。</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cs="宋体"/>
          <w:b/>
          <w:bCs/>
          <w:color w:val="000000"/>
          <w:kern w:val="0"/>
          <w:sz w:val="24"/>
          <w:szCs w:val="24"/>
          <w:lang w:val="en-US" w:eastAsia="zh-CN"/>
        </w:rPr>
        <w:t>工期要求</w:t>
      </w:r>
    </w:p>
    <w:p>
      <w:pPr>
        <w:pStyle w:val="77"/>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0" w:after="0" w:afterLines="0" w:line="400" w:lineRule="atLeast"/>
        <w:ind w:leftChars="0" w:right="0" w:rightChars="0" w:firstLine="480" w:firstLineChars="20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合同签订生效，</w:t>
      </w:r>
      <w:r>
        <w:rPr>
          <w:rFonts w:hint="eastAsia" w:ascii="宋体" w:hAnsi="Calibri" w:cs="宋体"/>
          <w:b w:val="0"/>
          <w:bCs w:val="0"/>
          <w:color w:val="000000"/>
          <w:kern w:val="0"/>
          <w:sz w:val="24"/>
          <w:szCs w:val="24"/>
          <w:lang w:val="en-US" w:eastAsia="zh-CN"/>
        </w:rPr>
        <w:t>接采购方通知后进场，40天内</w:t>
      </w:r>
      <w:r>
        <w:rPr>
          <w:rFonts w:hint="eastAsia" w:ascii="宋体" w:hAnsi="Calibri" w:eastAsia="宋体" w:cs="宋体"/>
          <w:b w:val="0"/>
          <w:bCs w:val="0"/>
          <w:color w:val="000000"/>
          <w:kern w:val="0"/>
          <w:sz w:val="24"/>
          <w:szCs w:val="24"/>
          <w:lang w:val="en-US" w:eastAsia="zh-CN"/>
        </w:rPr>
        <w:t>完成本轮厂区水量平衡测试，报告报送市节约用水办公室审核并验收合格。</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报价方式及付款方式</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须以人民币报价，报价应含项目拟更换水表的设备费、材料费、安装费、审核及备案、评估、编制水平衡报告、验收、税费等至验收合格后交付采购方使用的全部费用，报价方式为交钥匙总包价。报价为含税报价，本项目开具税率为6％增值税专用发票，未说明是否含税报价一律视为含税价。</w:t>
      </w:r>
    </w:p>
    <w:p>
      <w:pPr>
        <w:pStyle w:val="77"/>
        <w:keepNext w:val="0"/>
        <w:keepLines w:val="0"/>
        <w:pageBreakBefore w:val="0"/>
        <w:widowControl w:val="0"/>
        <w:numPr>
          <w:ilvl w:val="0"/>
          <w:numId w:val="3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付款方式</w:t>
      </w:r>
    </w:p>
    <w:p>
      <w:pPr>
        <w:pStyle w:val="77"/>
        <w:keepNext w:val="0"/>
        <w:keepLines w:val="0"/>
        <w:pageBreakBefore w:val="0"/>
        <w:widowControl w:val="0"/>
        <w:numPr>
          <w:ilvl w:val="0"/>
          <w:numId w:val="3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合同正式签订生效后，采购方收到成交供应商30％的增值税专用发票后，10个工作日内采购方支付成交供应商合同总价的30%款项作为预付款。</w:t>
      </w:r>
      <w:bookmarkStart w:id="109" w:name="_Toc11922_WPSOffice_Level2"/>
      <w:bookmarkStart w:id="110" w:name="_Toc12068_WPSOffice_Level2"/>
      <w:bookmarkStart w:id="111" w:name="_Toc21785_WPSOffice_Level2"/>
      <w:bookmarkStart w:id="112" w:name="_Toc15066_WPSOffice_Level2"/>
    </w:p>
    <w:p>
      <w:pPr>
        <w:pStyle w:val="77"/>
        <w:keepNext w:val="0"/>
        <w:keepLines w:val="0"/>
        <w:pageBreakBefore w:val="0"/>
        <w:widowControl w:val="0"/>
        <w:numPr>
          <w:ilvl w:val="0"/>
          <w:numId w:val="3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项目完工并经验收合格，采购方在收到成交供应商至合同全额增值税发票后，10个工作日内采购方支付成交供应商至合同总价的97%款项作为验收款。</w:t>
      </w:r>
    </w:p>
    <w:p>
      <w:pPr>
        <w:pStyle w:val="77"/>
        <w:keepNext w:val="0"/>
        <w:keepLines w:val="0"/>
        <w:pageBreakBefore w:val="0"/>
        <w:widowControl w:val="0"/>
        <w:numPr>
          <w:ilvl w:val="0"/>
          <w:numId w:val="3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预留合同总价3%作为质保金，质保期1年，质保期满后无质量问题，采购方支付成交供应商质保金，质保期间的质保金不计利息。</w:t>
      </w:r>
    </w:p>
    <w:p>
      <w:pPr>
        <w:pStyle w:val="77"/>
        <w:keepNext w:val="0"/>
        <w:keepLines w:val="0"/>
        <w:pageBreakBefore w:val="0"/>
        <w:widowControl w:val="0"/>
        <w:numPr>
          <w:ilvl w:val="0"/>
          <w:numId w:val="2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其他事项</w:t>
      </w:r>
      <w:bookmarkEnd w:id="109"/>
      <w:bookmarkEnd w:id="110"/>
      <w:bookmarkEnd w:id="111"/>
      <w:bookmarkEnd w:id="112"/>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确定成交供应商后，成交供应商应严格依据谈判文件及报价文件签订合同，并依据施工合同履行义务，如有违约，采购方有权追究违约方的违约责任。</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报价方认为需采购方配合的事宜。</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报价方若有其它方面的特殊功能、附加功能及优惠条件，必须在报价文件中注明。</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成交供应商必须于成交通知书发出之日起，10日内领取成交通知书原件，未按规定领取的，视为成交供应商放弃成交资格。</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报价方应如实提供所有资料的相关复印件，必要时采购方将保留要求报价方提供原件予以核查的权利。</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报价方认为有必要提供的其它技术资料。</w:t>
      </w:r>
    </w:p>
    <w:p>
      <w:pPr>
        <w:pStyle w:val="77"/>
        <w:keepNext w:val="0"/>
        <w:keepLines w:val="0"/>
        <w:pageBreakBefore w:val="0"/>
        <w:widowControl w:val="0"/>
        <w:numPr>
          <w:ilvl w:val="0"/>
          <w:numId w:val="3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响应报价文件有效期。响应报价文件有效期60天，在此期间内，所有报价文件均保持有效。</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3"/>
        <w:keepNext w:val="0"/>
        <w:keepLines w:val="0"/>
        <w:kinsoku w:val="0"/>
        <w:overflowPunct w:val="0"/>
        <w:snapToGrid w:val="0"/>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第四部分 合同主要条款</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000" w:type="pct"/>
          </w:tcPr>
          <w:p>
            <w:pPr>
              <w:kinsoku w:val="0"/>
              <w:overflowPunct w:val="0"/>
              <w:snapToGrid w:val="0"/>
              <w:spacing w:line="380" w:lineRule="exact"/>
              <w:rPr>
                <w:rFonts w:ascii="宋体" w:hAnsi="宋体" w:cs="宋体"/>
                <w:sz w:val="24"/>
                <w:szCs w:val="24"/>
                <w:highlight w:val="none"/>
              </w:rPr>
            </w:pPr>
            <w:r>
              <w:rPr>
                <w:rFonts w:hint="eastAsia" w:ascii="宋体" w:hAnsi="宋体" w:cs="宋体"/>
                <w:sz w:val="24"/>
                <w:szCs w:val="24"/>
                <w:highlight w:val="none"/>
              </w:rPr>
              <w:t xml:space="preserve">注释： </w:t>
            </w:r>
          </w:p>
          <w:p>
            <w:pPr>
              <w:kinsoku w:val="0"/>
              <w:overflowPunct w:val="0"/>
              <w:snapToGrid w:val="0"/>
              <w:spacing w:line="380" w:lineRule="exact"/>
              <w:ind w:firstLine="480" w:firstLineChars="200"/>
              <w:rPr>
                <w:rFonts w:ascii="宋体" w:hAnsi="宋体" w:cs="宋体"/>
                <w:sz w:val="24"/>
                <w:szCs w:val="24"/>
                <w:highlight w:val="none"/>
              </w:rPr>
            </w:pPr>
            <w:r>
              <w:rPr>
                <w:rFonts w:hint="eastAsia" w:ascii="宋体" w:hAnsi="宋体" w:cs="宋体"/>
                <w:sz w:val="24"/>
                <w:szCs w:val="24"/>
                <w:highlight w:val="none"/>
              </w:rPr>
              <w:t>本格式条款仅作为双方签订合同的参考，为阐明各方的权利和义务，经协商可增加新的条款、修改相关条款， 但不得与采购文件、报价文件的实质性内容相背离。</w:t>
            </w:r>
          </w:p>
        </w:tc>
      </w:tr>
    </w:tbl>
    <w:p>
      <w:pPr>
        <w:kinsoku w:val="0"/>
        <w:overflowPunct w:val="0"/>
        <w:autoSpaceDE/>
        <w:autoSpaceDN/>
        <w:snapToGrid w:val="0"/>
        <w:spacing w:line="400" w:lineRule="atLeast"/>
        <w:ind w:firstLine="482" w:firstLineChars="200"/>
        <w:jc w:val="left"/>
        <w:textAlignment w:val="auto"/>
        <w:rPr>
          <w:rFonts w:ascii="宋体" w:hAnsi="宋体" w:cs="宋体"/>
          <w:sz w:val="24"/>
          <w:szCs w:val="24"/>
          <w:highlight w:val="none"/>
          <w:u w:val="single"/>
        </w:rPr>
      </w:pPr>
      <w:bookmarkStart w:id="113" w:name="_Toc17855_WPSOffice_Level1"/>
      <w:r>
        <w:rPr>
          <w:rFonts w:hint="eastAsia" w:ascii="宋体" w:hAnsi="宋体" w:cs="宋体"/>
          <w:b/>
          <w:sz w:val="24"/>
          <w:szCs w:val="24"/>
          <w:highlight w:val="none"/>
        </w:rPr>
        <w:t>甲方</w:t>
      </w:r>
      <w:r>
        <w:rPr>
          <w:rFonts w:hint="eastAsia" w:ascii="宋体" w:hAnsi="宋体" w:cs="宋体"/>
          <w:sz w:val="24"/>
          <w:szCs w:val="24"/>
          <w:highlight w:val="none"/>
        </w:rPr>
        <w:t>：</w:t>
      </w:r>
      <w:r>
        <w:rPr>
          <w:rFonts w:hint="eastAsia" w:ascii="宋体" w:hAnsi="宋体" w:cs="宋体"/>
          <w:sz w:val="24"/>
          <w:szCs w:val="24"/>
          <w:highlight w:val="none"/>
          <w:u w:val="single"/>
        </w:rPr>
        <w:t>厦门海发环保能源股份有限公司</w:t>
      </w:r>
      <w:bookmarkEnd w:id="113"/>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u w:val="single"/>
        </w:rPr>
        <w:t>住所地：厦门市海沧区阳光西路288号</w:t>
      </w:r>
    </w:p>
    <w:p>
      <w:pPr>
        <w:kinsoku w:val="0"/>
        <w:overflowPunct w:val="0"/>
        <w:autoSpaceDE/>
        <w:autoSpaceDN/>
        <w:snapToGrid w:val="0"/>
        <w:spacing w:line="400" w:lineRule="atLeast"/>
        <w:ind w:firstLine="482" w:firstLineChars="200"/>
        <w:jc w:val="left"/>
        <w:textAlignment w:val="auto"/>
        <w:outlineLvl w:val="0"/>
        <w:rPr>
          <w:rFonts w:ascii="宋体" w:hAnsi="宋体" w:cs="宋体"/>
          <w:sz w:val="24"/>
          <w:szCs w:val="24"/>
          <w:highlight w:val="none"/>
          <w:u w:val="single"/>
        </w:rPr>
      </w:pPr>
      <w:bookmarkStart w:id="114" w:name="_Toc19214_WPSOffice_Level1"/>
      <w:r>
        <w:rPr>
          <w:rFonts w:hint="eastAsia" w:ascii="宋体" w:hAnsi="宋体" w:cs="宋体"/>
          <w:b/>
          <w:sz w:val="24"/>
          <w:szCs w:val="24"/>
          <w:highlight w:val="none"/>
        </w:rPr>
        <w:t>乙方</w:t>
      </w:r>
      <w:r>
        <w:rPr>
          <w:rFonts w:hint="eastAsia" w:ascii="宋体" w:hAnsi="宋体" w:cs="宋体"/>
          <w:b/>
          <w:bCs/>
          <w:sz w:val="24"/>
          <w:szCs w:val="24"/>
          <w:highlight w:val="none"/>
        </w:rPr>
        <w:t>：</w:t>
      </w:r>
      <w:bookmarkEnd w:id="114"/>
      <w:r>
        <w:rPr>
          <w:rFonts w:hint="eastAsia" w:ascii="宋体" w:hAnsi="宋体" w:cs="宋体"/>
          <w:kern w:val="2"/>
          <w:sz w:val="24"/>
          <w:szCs w:val="24"/>
          <w:highlight w:val="none"/>
          <w:u w:val="single"/>
        </w:rPr>
        <w:t xml:space="preserve">                                 </w:t>
      </w:r>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kinsoku w:val="0"/>
        <w:overflowPunct w:val="0"/>
        <w:autoSpaceDE/>
        <w:autoSpaceDN/>
        <w:snapToGrid w:val="0"/>
        <w:spacing w:line="38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根据《中华人民共和国民法典》及有关法律、法规，</w:t>
      </w:r>
      <w:r>
        <w:rPr>
          <w:rFonts w:hAnsi="宋体"/>
          <w:sz w:val="24"/>
          <w:szCs w:val="24"/>
          <w:highlight w:val="none"/>
        </w:rPr>
        <w:t>甲、乙双方本着精诚合作、互惠互利的原则，</w:t>
      </w:r>
      <w:r>
        <w:rPr>
          <w:rFonts w:hint="eastAsia" w:hAnsi="宋体"/>
          <w:sz w:val="24"/>
          <w:szCs w:val="24"/>
          <w:highlight w:val="none"/>
        </w:rPr>
        <w:t>就甲方</w:t>
      </w:r>
      <w:r>
        <w:rPr>
          <w:rFonts w:ascii="宋体" w:hAnsi="宋体" w:cs="宋体"/>
          <w:bCs/>
          <w:sz w:val="24"/>
          <w:szCs w:val="24"/>
          <w:highlight w:val="none"/>
        </w:rPr>
        <w:t>2022</w:t>
      </w:r>
      <w:r>
        <w:rPr>
          <w:rFonts w:hint="eastAsia" w:ascii="宋体" w:hAnsi="宋体" w:cs="宋体"/>
          <w:bCs/>
          <w:sz w:val="24"/>
          <w:szCs w:val="24"/>
          <w:highlight w:val="none"/>
        </w:rPr>
        <w:t>年厂区水量平衡测试项目</w:t>
      </w:r>
      <w:r>
        <w:rPr>
          <w:rFonts w:hint="eastAsia" w:ascii="宋体" w:hAnsi="宋体" w:cs="宋体"/>
          <w:sz w:val="24"/>
          <w:szCs w:val="24"/>
          <w:highlight w:val="none"/>
        </w:rPr>
        <w:t>，经双方协商一致，签订本合同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供双方共同遵守</w:t>
      </w:r>
      <w:r>
        <w:rPr>
          <w:rFonts w:hint="eastAsia" w:ascii="宋体" w:hAnsi="宋体" w:cs="宋体"/>
          <w:sz w:val="24"/>
          <w:szCs w:val="24"/>
          <w:highlight w:val="none"/>
        </w:rPr>
        <w:t>。</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15" w:name="_Toc25030_WPSOffice_Level1"/>
      <w:r>
        <w:rPr>
          <w:rFonts w:hint="eastAsia" w:ascii="宋体" w:hAnsi="Calibri" w:eastAsia="宋体" w:cs="宋体"/>
          <w:b/>
          <w:bCs/>
          <w:color w:val="000000"/>
          <w:kern w:val="0"/>
          <w:sz w:val="24"/>
          <w:szCs w:val="24"/>
          <w:lang w:val="en-US" w:eastAsia="zh-CN"/>
        </w:rPr>
        <w:t>项目概况</w:t>
      </w:r>
      <w:bookmarkEnd w:id="115"/>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 xml:space="preserve">项目名称：2022年厂区水量平衡测试项目。 </w:t>
      </w:r>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项目地点：厦门海发环保能源股份有限公司</w:t>
      </w:r>
      <w:r>
        <w:rPr>
          <w:rFonts w:hint="eastAsia" w:ascii="宋体" w:hAnsi="Calibri" w:cs="宋体"/>
          <w:b w:val="0"/>
          <w:bCs w:val="0"/>
          <w:color w:val="000000"/>
          <w:kern w:val="0"/>
          <w:sz w:val="24"/>
          <w:szCs w:val="24"/>
          <w:lang w:val="en-US" w:eastAsia="zh-CN"/>
        </w:rPr>
        <w:t>新阳热电</w:t>
      </w:r>
      <w:r>
        <w:rPr>
          <w:rFonts w:hint="eastAsia" w:ascii="宋体" w:hAnsi="Calibri" w:eastAsia="宋体" w:cs="宋体"/>
          <w:b w:val="0"/>
          <w:bCs w:val="0"/>
          <w:color w:val="000000"/>
          <w:kern w:val="0"/>
          <w:sz w:val="24"/>
          <w:szCs w:val="24"/>
          <w:lang w:val="en-US" w:eastAsia="zh-CN"/>
        </w:rPr>
        <w:t>厂区。</w:t>
      </w:r>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内容：根据《厦门市城市供水节水条例》第三十五条，月用水量在三千吨以上的计划用水单位，应当每三年开展一次水量平衡测试工作，按照文件要求完成厦门海发环保能源股份有限公司2022年厂区水量平衡测试项目。</w:t>
      </w:r>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承包方式：总承包，本工程采用固定总价合同。</w:t>
      </w:r>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工期要求：合同签订生效，接采购方通知进场后，40天内完成厂区水量平衡测试，报告报送市节约用水办公室审核并验收合格。</w:t>
      </w:r>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审核标准：需符合国家现行的相关规定，满足相关规范要求，验收合格。</w:t>
      </w:r>
    </w:p>
    <w:p>
      <w:pPr>
        <w:pStyle w:val="77"/>
        <w:keepNext w:val="0"/>
        <w:keepLines w:val="0"/>
        <w:pageBreakBefore w:val="0"/>
        <w:widowControl w:val="0"/>
        <w:numPr>
          <w:ilvl w:val="0"/>
          <w:numId w:val="38"/>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谈判文件中的《技术规范书》为合同附件，经双方签字盖章后与合同具备同等法律效力。</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合同价款及付款方式</w:t>
      </w:r>
    </w:p>
    <w:p>
      <w:pPr>
        <w:pStyle w:val="77"/>
        <w:keepNext w:val="0"/>
        <w:keepLines w:val="0"/>
        <w:pageBreakBefore w:val="0"/>
        <w:widowControl w:val="0"/>
        <w:numPr>
          <w:ilvl w:val="0"/>
          <w:numId w:val="3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合同价款：人民币      元（含6%税率增值税专用发票）。</w:t>
      </w:r>
    </w:p>
    <w:p>
      <w:pPr>
        <w:pStyle w:val="77"/>
        <w:keepNext w:val="0"/>
        <w:keepLines w:val="0"/>
        <w:pageBreakBefore w:val="0"/>
        <w:widowControl w:val="0"/>
        <w:numPr>
          <w:ilvl w:val="0"/>
          <w:numId w:val="3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合同总价包含拟更换水表的设备费、材料费、安装费、人工费、措施费、审核及备案、评估、编制水平衡报告费、税费等，并经厦门市节水办公室审核验收合格后交付甲方使用的全部费用。</w:t>
      </w:r>
    </w:p>
    <w:p>
      <w:pPr>
        <w:pStyle w:val="77"/>
        <w:keepNext w:val="0"/>
        <w:keepLines w:val="0"/>
        <w:pageBreakBefore w:val="0"/>
        <w:widowControl w:val="0"/>
        <w:numPr>
          <w:ilvl w:val="0"/>
          <w:numId w:val="3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根据项目需要，若甲方需增加采购文件拟更换水表清单表之外的水表，乙方应负责实施，增加水表的更换费用按照乙方报价文件相应规格水表的更换报价进行收费。</w:t>
      </w:r>
    </w:p>
    <w:p>
      <w:pPr>
        <w:pStyle w:val="77"/>
        <w:keepNext w:val="0"/>
        <w:keepLines w:val="0"/>
        <w:pageBreakBefore w:val="0"/>
        <w:widowControl w:val="0"/>
        <w:numPr>
          <w:ilvl w:val="0"/>
          <w:numId w:val="39"/>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付款方式</w:t>
      </w:r>
    </w:p>
    <w:p>
      <w:pPr>
        <w:pStyle w:val="77"/>
        <w:keepNext w:val="0"/>
        <w:keepLines w:val="0"/>
        <w:pageBreakBefore w:val="0"/>
        <w:widowControl w:val="0"/>
        <w:numPr>
          <w:ilvl w:val="0"/>
          <w:numId w:val="4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合同签订生效，甲方收到乙方开具合同总价30％增值税专用发票后，10个工作日内甲方支付给乙方合同总价的30%款项作为预付款。</w:t>
      </w:r>
    </w:p>
    <w:p>
      <w:pPr>
        <w:pStyle w:val="77"/>
        <w:keepNext w:val="0"/>
        <w:keepLines w:val="0"/>
        <w:pageBreakBefore w:val="0"/>
        <w:widowControl w:val="0"/>
        <w:numPr>
          <w:ilvl w:val="0"/>
          <w:numId w:val="4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项目完工并经相关部门验收合格，甲方收到乙方审核合格报告资料，乙方开具至合同全额增值税发票后，10个工作日内甲方支付乙方至合同总价97%款项作为验收款。</w:t>
      </w:r>
    </w:p>
    <w:p>
      <w:pPr>
        <w:pStyle w:val="77"/>
        <w:keepNext w:val="0"/>
        <w:keepLines w:val="0"/>
        <w:pageBreakBefore w:val="0"/>
        <w:widowControl w:val="0"/>
        <w:numPr>
          <w:ilvl w:val="0"/>
          <w:numId w:val="40"/>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预留合同总价3%作为质保金，质保期1年，质保期满后无质量问题，甲方方支付成交乙方质保金，质保期间的质保金不计利息。</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服务要求</w:t>
      </w:r>
    </w:p>
    <w:p>
      <w:pPr>
        <w:pStyle w:val="77"/>
        <w:keepNext w:val="0"/>
        <w:keepLines w:val="0"/>
        <w:pageBreakBefore w:val="0"/>
        <w:widowControl w:val="0"/>
        <w:numPr>
          <w:ilvl w:val="0"/>
          <w:numId w:val="4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根据水平衡测试方案三级计量要求，对甲方厂区供水管网系统进行勘查、核实核算需配备的计量仪表数量及表位，建立完整、准确的给水系统管网台账。</w:t>
      </w:r>
    </w:p>
    <w:p>
      <w:pPr>
        <w:pStyle w:val="77"/>
        <w:keepNext w:val="0"/>
        <w:keepLines w:val="0"/>
        <w:pageBreakBefore w:val="0"/>
        <w:widowControl w:val="0"/>
        <w:numPr>
          <w:ilvl w:val="0"/>
          <w:numId w:val="4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完成采购文件要求的水表更换。</w:t>
      </w:r>
    </w:p>
    <w:p>
      <w:pPr>
        <w:pStyle w:val="77"/>
        <w:keepNext w:val="0"/>
        <w:keepLines w:val="0"/>
        <w:pageBreakBefore w:val="0"/>
        <w:widowControl w:val="0"/>
        <w:numPr>
          <w:ilvl w:val="0"/>
          <w:numId w:val="4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完成甲方给水系统平面图和计量水量网络图</w:t>
      </w:r>
    </w:p>
    <w:p>
      <w:pPr>
        <w:pStyle w:val="77"/>
        <w:keepNext w:val="0"/>
        <w:keepLines w:val="0"/>
        <w:pageBreakBefore w:val="0"/>
        <w:widowControl w:val="0"/>
        <w:numPr>
          <w:ilvl w:val="0"/>
          <w:numId w:val="4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完成测试数据的计算、汇总和分析。</w:t>
      </w:r>
    </w:p>
    <w:p>
      <w:pPr>
        <w:pStyle w:val="77"/>
        <w:keepNext w:val="0"/>
        <w:keepLines w:val="0"/>
        <w:pageBreakBefore w:val="0"/>
        <w:widowControl w:val="0"/>
        <w:numPr>
          <w:ilvl w:val="0"/>
          <w:numId w:val="4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完成甲方厂区平衡测试，并达到测试要求。</w:t>
      </w:r>
    </w:p>
    <w:p>
      <w:pPr>
        <w:pStyle w:val="77"/>
        <w:keepNext w:val="0"/>
        <w:keepLines w:val="0"/>
        <w:pageBreakBefore w:val="0"/>
        <w:widowControl w:val="0"/>
        <w:numPr>
          <w:ilvl w:val="0"/>
          <w:numId w:val="41"/>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水量平衡测试完成并经验收合格，乙方需向甲方提交8份精装完整版的水平衡测试合格报告书，并提供加盖公章PDF电子版水平衡测试报告书。</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质量及验收标准</w:t>
      </w:r>
    </w:p>
    <w:p>
      <w:pPr>
        <w:pStyle w:val="77"/>
        <w:keepNext w:val="0"/>
        <w:keepLines w:val="0"/>
        <w:pageBreakBefore w:val="0"/>
        <w:widowControl w:val="0"/>
        <w:numPr>
          <w:ilvl w:val="0"/>
          <w:numId w:val="4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项目所需设备、材料均由乙方组织采购、运输供应。乙方采购、供应的材料、设备应保证质量，符合要求，所有材料、设备应具有相应的质量合格证和必要的检验报告等产品证明。甲方将组织对进场材料进行核查，若因乙方使用假冒伪劣材料造成工程质量问题，乙方除赔偿甲方直接经济损失外，且无条件返修至合格标准。</w:t>
      </w:r>
    </w:p>
    <w:p>
      <w:pPr>
        <w:pStyle w:val="77"/>
        <w:keepNext w:val="0"/>
        <w:keepLines w:val="0"/>
        <w:pageBreakBefore w:val="0"/>
        <w:widowControl w:val="0"/>
        <w:numPr>
          <w:ilvl w:val="0"/>
          <w:numId w:val="4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质量要求标准：合格。</w:t>
      </w:r>
    </w:p>
    <w:p>
      <w:pPr>
        <w:pStyle w:val="77"/>
        <w:keepNext w:val="0"/>
        <w:keepLines w:val="0"/>
        <w:pageBreakBefore w:val="0"/>
        <w:widowControl w:val="0"/>
        <w:numPr>
          <w:ilvl w:val="0"/>
          <w:numId w:val="42"/>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验收标准：按GB/T12452-2008《企业水平衡与测试通则》等相关技术规范与标准完成甲方2022年厂区水平衡测试，水平衡测试报告应报送厦门市节约用水办公室审核并验收合格。</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双方责任</w:t>
      </w:r>
    </w:p>
    <w:p>
      <w:pPr>
        <w:pStyle w:val="77"/>
        <w:keepNext w:val="0"/>
        <w:keepLines w:val="0"/>
        <w:pageBreakBefore w:val="0"/>
        <w:widowControl w:val="0"/>
        <w:numPr>
          <w:ilvl w:val="0"/>
          <w:numId w:val="4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甲方责任</w:t>
      </w:r>
    </w:p>
    <w:p>
      <w:pPr>
        <w:pStyle w:val="77"/>
        <w:keepNext w:val="0"/>
        <w:keepLines w:val="0"/>
        <w:pageBreakBefore w:val="0"/>
        <w:widowControl w:val="0"/>
        <w:numPr>
          <w:ilvl w:val="0"/>
          <w:numId w:val="4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甲方向乙方提供完成水平衡测试所需资料、数据，包括：给水系统图、用水设备设备、工艺流程等。</w:t>
      </w:r>
    </w:p>
    <w:p>
      <w:pPr>
        <w:pStyle w:val="77"/>
        <w:keepNext w:val="0"/>
        <w:keepLines w:val="0"/>
        <w:pageBreakBefore w:val="0"/>
        <w:widowControl w:val="0"/>
        <w:numPr>
          <w:ilvl w:val="0"/>
          <w:numId w:val="4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甲方在开工前应办理好入厂各种手续，使工程具备开工条件、开工前对乙方进行审核工作安全技术交底。</w:t>
      </w:r>
    </w:p>
    <w:p>
      <w:pPr>
        <w:pStyle w:val="77"/>
        <w:keepNext w:val="0"/>
        <w:keepLines w:val="0"/>
        <w:pageBreakBefore w:val="0"/>
        <w:widowControl w:val="0"/>
        <w:numPr>
          <w:ilvl w:val="0"/>
          <w:numId w:val="4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在合同履行期间，甲方单方提出解除合同的，乙方未开始审核工作，则乙方须退还甲方已付的预付款；已开始审核工作的，甲方应根据乙方已进行的实际工作量，不足一半时，按该阶段审核费的一半支付；超过一半时，按该阶段审核费的全部支付。</w:t>
      </w:r>
    </w:p>
    <w:p>
      <w:pPr>
        <w:pStyle w:val="77"/>
        <w:keepNext w:val="0"/>
        <w:keepLines w:val="0"/>
        <w:pageBreakBefore w:val="0"/>
        <w:widowControl w:val="0"/>
        <w:numPr>
          <w:ilvl w:val="0"/>
          <w:numId w:val="44"/>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提供场地和测试条件等，协助乙方完成相关数据采集工作，配合乙方现场测试人员提供工作方便条件。</w:t>
      </w:r>
    </w:p>
    <w:p>
      <w:pPr>
        <w:pStyle w:val="77"/>
        <w:keepNext w:val="0"/>
        <w:keepLines w:val="0"/>
        <w:pageBreakBefore w:val="0"/>
        <w:widowControl w:val="0"/>
        <w:numPr>
          <w:ilvl w:val="0"/>
          <w:numId w:val="4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 xml:space="preserve">乙方责任  </w:t>
      </w:r>
    </w:p>
    <w:p>
      <w:pPr>
        <w:pStyle w:val="77"/>
        <w:keepNext w:val="0"/>
        <w:keepLines w:val="0"/>
        <w:pageBreakBefore w:val="0"/>
        <w:widowControl w:val="0"/>
        <w:numPr>
          <w:ilvl w:val="0"/>
          <w:numId w:val="4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乙方应按本合同规定的内容、时间完成水平衡测试工作，并按合同要求向甲方交付合格审核文件资料。</w:t>
      </w:r>
    </w:p>
    <w:p>
      <w:pPr>
        <w:pStyle w:val="77"/>
        <w:keepNext w:val="0"/>
        <w:keepLines w:val="0"/>
        <w:pageBreakBefore w:val="0"/>
        <w:widowControl w:val="0"/>
        <w:numPr>
          <w:ilvl w:val="0"/>
          <w:numId w:val="4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合同生效后，乙方单方提出解除合同的，乙方应双倍返还预付款，还应当按照有关规定赔偿甲方损失。</w:t>
      </w:r>
    </w:p>
    <w:p>
      <w:pPr>
        <w:pStyle w:val="77"/>
        <w:keepNext w:val="0"/>
        <w:keepLines w:val="0"/>
        <w:pageBreakBefore w:val="0"/>
        <w:widowControl w:val="0"/>
        <w:numPr>
          <w:ilvl w:val="0"/>
          <w:numId w:val="4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乙方对审核文件出现的遗漏或错误负责修改或补充完善，由于乙方自身原因，延误了按本合同规定的审核文件交付时间，如造成甲方产生其他损失的则甲方有权不支付审核费用，乙方还应承担全部的赔偿责任。</w:t>
      </w:r>
    </w:p>
    <w:p>
      <w:pPr>
        <w:pStyle w:val="77"/>
        <w:keepNext w:val="0"/>
        <w:keepLines w:val="0"/>
        <w:pageBreakBefore w:val="0"/>
        <w:widowControl w:val="0"/>
        <w:numPr>
          <w:ilvl w:val="0"/>
          <w:numId w:val="4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乙方应全力配合甲方落实好新冠疫情防控工作。</w:t>
      </w:r>
    </w:p>
    <w:p>
      <w:pPr>
        <w:pStyle w:val="77"/>
        <w:keepNext w:val="0"/>
        <w:keepLines w:val="0"/>
        <w:pageBreakBefore w:val="0"/>
        <w:widowControl w:val="0"/>
        <w:numPr>
          <w:ilvl w:val="0"/>
          <w:numId w:val="45"/>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乙方不得向第三方（市、区水务主管部门及验收单位除外）扩散、转让甲方提交的产品图纸等技术资料和相关水平衡测试报告，如发生以上情况，乙方应向甲方赔偿水平衡测试服务费总额的50％违约金。</w:t>
      </w:r>
    </w:p>
    <w:p>
      <w:pPr>
        <w:pStyle w:val="77"/>
        <w:keepNext w:val="0"/>
        <w:keepLines w:val="0"/>
        <w:pageBreakBefore w:val="0"/>
        <w:widowControl w:val="0"/>
        <w:numPr>
          <w:ilvl w:val="0"/>
          <w:numId w:val="43"/>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双方另行签定安全协议书约定其它安全条款。</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双方现场代表</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bookmarkStart w:id="116" w:name="_Toc13888_WPSOffice_Level2"/>
      <w:r>
        <w:rPr>
          <w:rFonts w:hint="eastAsia" w:ascii="宋体" w:hAnsi="宋体" w:cs="宋体"/>
          <w:sz w:val="24"/>
          <w:szCs w:val="24"/>
          <w:highlight w:val="none"/>
        </w:rPr>
        <w:t>甲方代表：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16"/>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 xml:space="preserve">         　  　　  　　　</w:t>
      </w:r>
    </w:p>
    <w:p>
      <w:pPr>
        <w:snapToGrid w:val="0"/>
        <w:spacing w:line="400" w:lineRule="atLeast"/>
        <w:ind w:firstLine="480" w:firstLineChars="200"/>
        <w:rPr>
          <w:rFonts w:ascii="宋体" w:hAnsi="宋体" w:cs="宋体"/>
          <w:sz w:val="24"/>
          <w:szCs w:val="24"/>
          <w:highlight w:val="none"/>
        </w:rPr>
      </w:pPr>
      <w:bookmarkStart w:id="117" w:name="_Toc3401_WPSOffice_Level2"/>
      <w:r>
        <w:rPr>
          <w:rFonts w:hint="eastAsia" w:ascii="宋体" w:hAnsi="宋体" w:cs="宋体"/>
          <w:sz w:val="24"/>
          <w:szCs w:val="24"/>
          <w:highlight w:val="none"/>
        </w:rPr>
        <w:t>乙方代表：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17"/>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违约责任</w:t>
      </w:r>
    </w:p>
    <w:p>
      <w:pPr>
        <w:pStyle w:val="77"/>
        <w:keepNext w:val="0"/>
        <w:keepLines w:val="0"/>
        <w:pageBreakBefore w:val="0"/>
        <w:widowControl w:val="0"/>
        <w:numPr>
          <w:ilvl w:val="0"/>
          <w:numId w:val="4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乙方拒不提供本合同规定的技术服务、工作效果达不到技术标准要求、存在重大失误或不交付合同定的技术服务工作成果，甲方有权解除合同，乙方应返还全部技术服务报酬及占用期间的利息，并交付违约金，违约金为合同额的20%，违约金不足以弥补甲方损失的，乙方仍应承担责任。</w:t>
      </w:r>
    </w:p>
    <w:p>
      <w:pPr>
        <w:pStyle w:val="77"/>
        <w:keepNext w:val="0"/>
        <w:keepLines w:val="0"/>
        <w:pageBreakBefore w:val="0"/>
        <w:widowControl w:val="0"/>
        <w:numPr>
          <w:ilvl w:val="0"/>
          <w:numId w:val="4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乙方无正当理由，逾期向甲方提供技术服务或逾期交付合同规定的技术服务工作成果的，应按合同金额每日1％支付违约金；逾期15日的，甲方有权终止合同，乙方应返还全部技术服务报酬及占用期间的利息，并支付违约金。违约金为合同额的20％，违约金不足以弥补甲方损失的，乙方仍承担赔偿责任。</w:t>
      </w:r>
    </w:p>
    <w:p>
      <w:pPr>
        <w:pStyle w:val="77"/>
        <w:keepNext w:val="0"/>
        <w:keepLines w:val="0"/>
        <w:pageBreakBefore w:val="0"/>
        <w:widowControl w:val="0"/>
        <w:numPr>
          <w:ilvl w:val="0"/>
          <w:numId w:val="46"/>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审核报告不符合合同规定的，审核期内必须负责立即无偿整改合格，造成其他损失的甲方有权向乙方提出赔偿。</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保密</w:t>
      </w:r>
    </w:p>
    <w:p>
      <w:pPr>
        <w:snapToGrid w:val="0"/>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甲方向乙方提供水平衡测试所需的相关资料、数据和乙方完成的甲方水平衡测试报告书相关资料，乙方须按有关保密的规定进行管理，未经甲方同意，</w:t>
      </w:r>
      <w:r>
        <w:rPr>
          <w:rFonts w:hint="eastAsia" w:ascii="宋体" w:hAnsi="宋体" w:eastAsia="宋体" w:cs="宋体"/>
          <w:sz w:val="24"/>
          <w:szCs w:val="24"/>
          <w:highlight w:val="none"/>
        </w:rPr>
        <w:t>乙方不得</w:t>
      </w:r>
      <w:r>
        <w:rPr>
          <w:rFonts w:hint="eastAsia" w:ascii="宋体" w:hAnsi="宋体" w:eastAsia="宋体" w:cs="宋体"/>
          <w:sz w:val="24"/>
          <w:szCs w:val="24"/>
          <w:highlight w:val="none"/>
          <w:lang w:val="en-US" w:eastAsia="zh-CN"/>
        </w:rPr>
        <w:t>将</w:t>
      </w:r>
      <w:r>
        <w:rPr>
          <w:rFonts w:hint="eastAsia" w:ascii="宋体" w:hAnsi="宋体" w:eastAsia="宋体" w:cs="宋体"/>
          <w:sz w:val="24"/>
          <w:szCs w:val="24"/>
          <w:highlight w:val="none"/>
        </w:rPr>
        <w:t>甲方的资料、数据</w:t>
      </w:r>
      <w:r>
        <w:rPr>
          <w:rFonts w:hint="eastAsia" w:ascii="宋体" w:hAnsi="宋体" w:eastAsia="宋体" w:cs="宋体"/>
          <w:sz w:val="24"/>
          <w:szCs w:val="24"/>
          <w:highlight w:val="none"/>
          <w:lang w:val="en-US" w:eastAsia="zh-CN"/>
        </w:rPr>
        <w:t>对外公布或者透露。乙方造成数据泄露或违反有关保密规定的</w:t>
      </w:r>
      <w:r>
        <w:rPr>
          <w:rFonts w:hint="eastAsia" w:ascii="宋体" w:hAnsi="宋体" w:eastAsia="宋体" w:cs="宋体"/>
          <w:sz w:val="24"/>
          <w:szCs w:val="24"/>
          <w:highlight w:val="none"/>
        </w:rPr>
        <w:t>，乙方应该赔偿甲方由此产生的全部经济损失，同时甲方保留对乙方追究相关法律责任的权利。</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bookmarkStart w:id="118" w:name="_Toc21145_WPSOffice_Level1"/>
      <w:r>
        <w:rPr>
          <w:rFonts w:hint="eastAsia" w:ascii="宋体" w:hAnsi="Calibri" w:eastAsia="宋体" w:cs="宋体"/>
          <w:b/>
          <w:bCs/>
          <w:color w:val="000000"/>
          <w:kern w:val="0"/>
          <w:sz w:val="24"/>
          <w:szCs w:val="24"/>
          <w:lang w:val="en-US" w:eastAsia="zh-CN"/>
        </w:rPr>
        <w:t>纠份解决办法</w:t>
      </w:r>
      <w:bookmarkEnd w:id="118"/>
    </w:p>
    <w:p>
      <w:pPr>
        <w:autoSpaceDE/>
        <w:autoSpaceDN/>
        <w:snapToGrid w:val="0"/>
        <w:spacing w:line="380" w:lineRule="exact"/>
        <w:ind w:left="-105" w:leftChars="-50" w:right="-105" w:rightChars="-5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本合同执行过程中如有争议，应首先由甲、乙双方友好协商解决；协商不成，双方约定提交甲方所在地有管辖权的人民法院解决。所有对本合同的变更，需以双方共同达成的书面补充协议为准。</w:t>
      </w:r>
    </w:p>
    <w:p>
      <w:pPr>
        <w:pStyle w:val="77"/>
        <w:keepNext w:val="0"/>
        <w:keepLines w:val="0"/>
        <w:pageBreakBefore w:val="0"/>
        <w:widowControl w:val="0"/>
        <w:numPr>
          <w:ilvl w:val="0"/>
          <w:numId w:val="3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bCs/>
          <w:color w:val="000000"/>
          <w:kern w:val="0"/>
          <w:sz w:val="24"/>
          <w:szCs w:val="24"/>
          <w:lang w:val="en-US" w:eastAsia="zh-CN"/>
        </w:rPr>
      </w:pPr>
      <w:r>
        <w:rPr>
          <w:rFonts w:hint="eastAsia" w:ascii="宋体" w:hAnsi="Calibri" w:eastAsia="宋体" w:cs="宋体"/>
          <w:b/>
          <w:bCs/>
          <w:color w:val="000000"/>
          <w:kern w:val="0"/>
          <w:sz w:val="24"/>
          <w:szCs w:val="24"/>
          <w:lang w:val="en-US" w:eastAsia="zh-CN"/>
        </w:rPr>
        <w:t>合同生效</w:t>
      </w:r>
    </w:p>
    <w:p>
      <w:pPr>
        <w:pStyle w:val="77"/>
        <w:keepNext w:val="0"/>
        <w:keepLines w:val="0"/>
        <w:pageBreakBefore w:val="0"/>
        <w:widowControl w:val="0"/>
        <w:numPr>
          <w:ilvl w:val="0"/>
          <w:numId w:val="4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bookmarkStart w:id="119" w:name="_Toc7611_WPSOffice_Level1"/>
      <w:r>
        <w:rPr>
          <w:rFonts w:hint="eastAsia" w:ascii="宋体" w:hAnsi="Calibri" w:eastAsia="宋体" w:cs="宋体"/>
          <w:b w:val="0"/>
          <w:bCs w:val="0"/>
          <w:color w:val="000000"/>
          <w:kern w:val="0"/>
          <w:sz w:val="24"/>
          <w:szCs w:val="24"/>
          <w:lang w:val="en-US" w:eastAsia="zh-CN"/>
        </w:rPr>
        <w:t>合同订立时间：2022年   月    日</w:t>
      </w:r>
    </w:p>
    <w:p>
      <w:pPr>
        <w:pStyle w:val="77"/>
        <w:keepNext w:val="0"/>
        <w:keepLines w:val="0"/>
        <w:pageBreakBefore w:val="0"/>
        <w:widowControl w:val="0"/>
        <w:numPr>
          <w:ilvl w:val="0"/>
          <w:numId w:val="4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合同订立地点：厦门海发环保能源股份有限公司</w:t>
      </w:r>
    </w:p>
    <w:p>
      <w:pPr>
        <w:pStyle w:val="77"/>
        <w:keepNext w:val="0"/>
        <w:keepLines w:val="0"/>
        <w:pageBreakBefore w:val="0"/>
        <w:widowControl w:val="0"/>
        <w:numPr>
          <w:ilvl w:val="0"/>
          <w:numId w:val="4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本合同一式六份，甲方持四份乙方持两份，具有同等的法律效力。</w:t>
      </w:r>
    </w:p>
    <w:p>
      <w:pPr>
        <w:pStyle w:val="77"/>
        <w:keepNext w:val="0"/>
        <w:keepLines w:val="0"/>
        <w:pageBreakBefore w:val="0"/>
        <w:widowControl w:val="0"/>
        <w:numPr>
          <w:ilvl w:val="0"/>
          <w:numId w:val="47"/>
        </w:numPr>
        <w:kinsoku/>
        <w:wordWrap/>
        <w:overflowPunct/>
        <w:topLinePunct w:val="0"/>
        <w:autoSpaceDE/>
        <w:autoSpaceDN/>
        <w:bidi w:val="0"/>
        <w:adjustRightInd/>
        <w:snapToGrid/>
        <w:spacing w:before="0" w:beforeLines="0" w:after="0" w:afterLines="0" w:line="400" w:lineRule="atLeast"/>
        <w:ind w:left="0" w:leftChars="0" w:right="0" w:rightChars="0" w:firstLine="0" w:firstLineChars="0"/>
        <w:textAlignment w:val="auto"/>
        <w:rPr>
          <w:rFonts w:hint="eastAsia" w:ascii="宋体" w:hAnsi="Calibri" w:eastAsia="宋体" w:cs="宋体"/>
          <w:b w:val="0"/>
          <w:bCs w:val="0"/>
          <w:color w:val="000000"/>
          <w:kern w:val="0"/>
          <w:sz w:val="24"/>
          <w:szCs w:val="24"/>
          <w:lang w:val="en-US" w:eastAsia="zh-CN"/>
        </w:rPr>
      </w:pPr>
      <w:r>
        <w:rPr>
          <w:rFonts w:hint="eastAsia" w:ascii="宋体" w:hAnsi="Calibri" w:eastAsia="宋体" w:cs="宋体"/>
          <w:b w:val="0"/>
          <w:bCs w:val="0"/>
          <w:color w:val="000000"/>
          <w:kern w:val="0"/>
          <w:sz w:val="24"/>
          <w:szCs w:val="24"/>
          <w:lang w:val="en-US" w:eastAsia="zh-CN"/>
        </w:rPr>
        <w:t>本合同双方约定：自双方代表签字，加盖公章或合同专用章即生效。</w:t>
      </w:r>
    </w:p>
    <w:bookmarkEnd w:id="119"/>
    <w:p>
      <w:pPr>
        <w:snapToGrid w:val="0"/>
        <w:spacing w:before="120" w:beforeLines="50" w:after="120" w:afterLines="50" w:line="320" w:lineRule="atLeast"/>
        <w:rPr>
          <w:rFonts w:ascii="宋体" w:hAnsi="宋体"/>
          <w:sz w:val="24"/>
          <w:highlight w:val="none"/>
        </w:rPr>
      </w:pPr>
      <w:r>
        <w:rPr>
          <w:rFonts w:hint="eastAsia" w:ascii="宋体" w:hAnsi="宋体"/>
          <w:b/>
          <w:bCs/>
          <w:sz w:val="24"/>
          <w:highlight w:val="none"/>
        </w:rPr>
        <w:t>双方签署页：（以下无正文）</w:t>
      </w:r>
    </w:p>
    <w:p>
      <w:pPr>
        <w:snapToGrid w:val="0"/>
        <w:spacing w:before="120" w:beforeLines="50" w:after="120" w:afterLines="50" w:line="320" w:lineRule="atLeast"/>
        <w:rPr>
          <w:sz w:val="24"/>
          <w:highlight w:val="none"/>
        </w:rPr>
      </w:pPr>
      <w:r>
        <w:rPr>
          <w:rFonts w:hint="eastAsia" w:ascii="宋体" w:hAnsi="宋体"/>
          <w:sz w:val="24"/>
          <w:highlight w:val="none"/>
        </w:rPr>
        <w:t>甲 方：</w:t>
      </w:r>
      <w:r>
        <w:rPr>
          <w:rFonts w:hint="eastAsia" w:ascii="宋体" w:hAnsi="宋体" w:cs="宋体"/>
          <w:sz w:val="24"/>
          <w:szCs w:val="24"/>
          <w:highlight w:val="none"/>
        </w:rPr>
        <w:t>厦门海发环保能源股份有限公司</w:t>
      </w:r>
      <w:r>
        <w:rPr>
          <w:rFonts w:hint="eastAsia"/>
          <w:sz w:val="24"/>
          <w:highlight w:val="none"/>
        </w:rPr>
        <w:t xml:space="preserve">       </w:t>
      </w:r>
      <w:r>
        <w:rPr>
          <w:rFonts w:hint="eastAsia" w:ascii="宋体" w:hAnsi="宋体"/>
          <w:sz w:val="24"/>
          <w:highlight w:val="none"/>
        </w:rPr>
        <w:t>乙 方：</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法定代表：                                法定代表：</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授权代表：                   </w:t>
      </w:r>
      <w:r>
        <w:rPr>
          <w:rFonts w:hint="eastAsia" w:ascii="宋体" w:hAnsi="宋体"/>
          <w:sz w:val="28"/>
          <w:szCs w:val="28"/>
          <w:highlight w:val="none"/>
        </w:rPr>
        <w:t xml:space="preserve">   </w:t>
      </w:r>
      <w:r>
        <w:rPr>
          <w:rFonts w:hint="eastAsia" w:ascii="宋体" w:hAnsi="宋体"/>
          <w:sz w:val="24"/>
          <w:highlight w:val="none"/>
        </w:rPr>
        <w:t xml:space="preserve">          授权代表：</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电  话：0592-6807510</w:t>
      </w:r>
      <w:r>
        <w:rPr>
          <w:rFonts w:hint="eastAsia" w:ascii="宋体" w:hAnsi="宋体"/>
          <w:sz w:val="24"/>
          <w:highlight w:val="none"/>
        </w:rPr>
        <w:tab/>
      </w:r>
      <w:r>
        <w:rPr>
          <w:rFonts w:hint="eastAsia" w:ascii="宋体" w:hAnsi="宋体"/>
          <w:sz w:val="24"/>
          <w:highlight w:val="none"/>
        </w:rPr>
        <w:t>电  话：</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邮政编码：361028           </w:t>
      </w:r>
      <w:r>
        <w:rPr>
          <w:rFonts w:hint="eastAsia" w:ascii="宋体" w:hAnsi="宋体"/>
          <w:sz w:val="28"/>
          <w:szCs w:val="28"/>
          <w:highlight w:val="none"/>
        </w:rPr>
        <w:t xml:space="preserve"> </w:t>
      </w:r>
      <w:r>
        <w:rPr>
          <w:rFonts w:hint="eastAsia" w:ascii="宋体" w:hAnsi="宋体"/>
          <w:sz w:val="24"/>
          <w:highlight w:val="none"/>
        </w:rPr>
        <w:t xml:space="preserve">              邮政编码：</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传  真：0592-6807500</w:t>
      </w:r>
      <w:r>
        <w:rPr>
          <w:rFonts w:hint="eastAsia" w:ascii="宋体" w:hAnsi="宋体"/>
          <w:sz w:val="24"/>
          <w:highlight w:val="none"/>
        </w:rPr>
        <w:tab/>
      </w:r>
      <w:r>
        <w:rPr>
          <w:rFonts w:hint="eastAsia" w:ascii="宋体" w:hAnsi="宋体"/>
          <w:sz w:val="24"/>
          <w:highlight w:val="none"/>
        </w:rPr>
        <w:t>传  真：</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开户银行：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8"/>
          <w:szCs w:val="28"/>
          <w:highlight w:val="none"/>
        </w:rPr>
        <w:t xml:space="preserve">    </w:t>
      </w:r>
      <w:r>
        <w:rPr>
          <w:rFonts w:hint="eastAsia" w:ascii="宋体" w:hAnsi="宋体"/>
          <w:sz w:val="24"/>
          <w:highlight w:val="none"/>
        </w:rPr>
        <w:t>开户银行：</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帐  号：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2"/>
          <w:szCs w:val="22"/>
          <w:highlight w:val="none"/>
        </w:rPr>
        <w:t xml:space="preserve">    </w:t>
      </w:r>
      <w:r>
        <w:rPr>
          <w:rFonts w:hint="eastAsia" w:ascii="宋体" w:hAnsi="宋体"/>
          <w:szCs w:val="21"/>
          <w:highlight w:val="none"/>
        </w:rPr>
        <w:t xml:space="preserve"> </w:t>
      </w:r>
      <w:r>
        <w:rPr>
          <w:rFonts w:hint="eastAsia" w:ascii="宋体" w:hAnsi="宋体"/>
          <w:sz w:val="24"/>
          <w:highlight w:val="none"/>
        </w:rPr>
        <w:t>帐  号：</w:t>
      </w:r>
    </w:p>
    <w:p>
      <w:pPr>
        <w:snapToGrid w:val="0"/>
        <w:spacing w:line="320" w:lineRule="atLeast"/>
        <w:rPr>
          <w:rFonts w:ascii="宋体" w:hAnsi="宋体" w:cs="宋体"/>
          <w:spacing w:val="-4"/>
          <w:sz w:val="24"/>
          <w:szCs w:val="24"/>
          <w:highlight w:val="none"/>
        </w:rPr>
      </w:pPr>
      <w:r>
        <w:rPr>
          <w:rFonts w:hint="eastAsia" w:ascii="宋体" w:hAnsi="宋体" w:cs="宋体"/>
          <w:spacing w:val="-4"/>
          <w:sz w:val="24"/>
          <w:szCs w:val="24"/>
          <w:highlight w:val="none"/>
        </w:rPr>
        <w:t>项目负责人：                                项目负责人：</w:t>
      </w:r>
    </w:p>
    <w:p>
      <w:pPr>
        <w:tabs>
          <w:tab w:val="left" w:pos="4680"/>
        </w:tabs>
        <w:snapToGrid w:val="0"/>
        <w:spacing w:before="120" w:beforeLines="50" w:after="120" w:afterLines="50" w:line="320" w:lineRule="atLeast"/>
        <w:jc w:val="left"/>
        <w:rPr>
          <w:rFonts w:ascii="宋体" w:hAnsi="宋体" w:cs="宋体"/>
          <w:sz w:val="24"/>
          <w:szCs w:val="24"/>
          <w:highlight w:val="none"/>
        </w:rPr>
      </w:pPr>
      <w:r>
        <w:rPr>
          <w:rFonts w:hint="eastAsia" w:ascii="宋体" w:hAnsi="宋体"/>
          <w:sz w:val="24"/>
          <w:szCs w:val="22"/>
          <w:highlight w:val="none"/>
        </w:rPr>
        <w:t>联系电话：                                联系电话：</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第五部分 报价文件格式</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kinsoku w:val="0"/>
              <w:overflowPunct w:val="0"/>
              <w:adjustRightInd/>
              <w:spacing w:line="400" w:lineRule="atLeast"/>
              <w:rPr>
                <w:rFonts w:ascii="宋体" w:hAnsi="宋体"/>
                <w:sz w:val="24"/>
                <w:highlight w:val="none"/>
              </w:rPr>
            </w:pPr>
            <w:r>
              <w:rPr>
                <w:rFonts w:hint="eastAsia" w:ascii="宋体" w:hAnsi="宋体"/>
                <w:sz w:val="24"/>
                <w:highlight w:val="none"/>
              </w:rPr>
              <w:t xml:space="preserve">注释： </w:t>
            </w:r>
          </w:p>
          <w:p>
            <w:pPr>
              <w:kinsoku w:val="0"/>
              <w:overflowPunct w:val="0"/>
              <w:adjustRightInd/>
              <w:spacing w:line="400" w:lineRule="atLeast"/>
              <w:ind w:firstLine="480"/>
              <w:rPr>
                <w:rFonts w:ascii="宋体" w:hAnsi="宋体"/>
                <w:sz w:val="24"/>
                <w:highlight w:val="none"/>
              </w:rPr>
            </w:pPr>
            <w:r>
              <w:rPr>
                <w:rFonts w:hint="eastAsia" w:ascii="宋体" w:hAnsi="宋体"/>
                <w:sz w:val="24"/>
                <w:highlight w:val="none"/>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snapToGrid w:val="0"/>
        <w:spacing w:line="360" w:lineRule="auto"/>
        <w:jc w:val="center"/>
        <w:outlineLvl w:val="0"/>
        <w:rPr>
          <w:rFonts w:ascii="宋体" w:hAnsi="宋体"/>
          <w:b/>
          <w:sz w:val="44"/>
          <w:szCs w:val="44"/>
          <w:highlight w:val="none"/>
        </w:rPr>
      </w:pPr>
      <w:bookmarkStart w:id="120" w:name="_Toc6288"/>
      <w:bookmarkStart w:id="121" w:name="_Toc23011"/>
      <w:bookmarkStart w:id="122" w:name="_Toc11385"/>
      <w:r>
        <w:rPr>
          <w:rFonts w:hint="eastAsia" w:ascii="宋体" w:hAnsi="宋体"/>
          <w:b/>
          <w:sz w:val="44"/>
          <w:szCs w:val="44"/>
          <w:highlight w:val="none"/>
        </w:rPr>
        <w:t>厦门海发环保能源股份有限公司</w:t>
      </w:r>
      <w:bookmarkEnd w:id="120"/>
      <w:bookmarkEnd w:id="121"/>
      <w:bookmarkEnd w:id="122"/>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360" w:lineRule="auto"/>
        <w:jc w:val="center"/>
        <w:textAlignment w:val="auto"/>
        <w:rPr>
          <w:rFonts w:eastAsia="文鼎粗行楷体简"/>
          <w:b/>
          <w:kern w:val="2"/>
          <w:sz w:val="44"/>
          <w:szCs w:val="44"/>
          <w:highlight w:val="none"/>
        </w:rPr>
      </w:pPr>
      <w:r>
        <w:rPr>
          <w:rFonts w:eastAsia="文鼎粗行楷体简"/>
          <w:b/>
          <w:kern w:val="2"/>
          <w:sz w:val="44"/>
          <w:szCs w:val="44"/>
          <w:highlight w:val="none"/>
        </w:rPr>
        <w:t>2022</w:t>
      </w:r>
      <w:r>
        <w:rPr>
          <w:rFonts w:hint="eastAsia" w:eastAsia="文鼎粗行楷体简"/>
          <w:b/>
          <w:kern w:val="2"/>
          <w:sz w:val="44"/>
          <w:szCs w:val="44"/>
          <w:highlight w:val="none"/>
        </w:rPr>
        <w:t>年厂区水量平衡测试项目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响应报价文件</w:t>
      </w:r>
    </w:p>
    <w:p>
      <w:pPr>
        <w:kinsoku w:val="0"/>
        <w:overflowPunct w:val="0"/>
        <w:adjustRightInd/>
        <w:spacing w:line="400" w:lineRule="atLeast"/>
        <w:ind w:firstLine="1446" w:firstLineChars="400"/>
        <w:rPr>
          <w:rFonts w:ascii="宋体" w:hAnsi="宋体"/>
          <w:b/>
          <w:sz w:val="36"/>
          <w:highlight w:val="none"/>
        </w:rPr>
      </w:pPr>
    </w:p>
    <w:p>
      <w:pPr>
        <w:kinsoku w:val="0"/>
        <w:overflowPunct w:val="0"/>
        <w:adjustRightInd/>
        <w:spacing w:line="400" w:lineRule="atLeast"/>
        <w:ind w:firstLine="1807" w:firstLineChars="500"/>
        <w:outlineLvl w:val="0"/>
        <w:rPr>
          <w:rFonts w:ascii="宋体" w:hAnsi="宋体"/>
          <w:b/>
          <w:sz w:val="36"/>
          <w:highlight w:val="none"/>
        </w:rPr>
      </w:pPr>
      <w:bookmarkStart w:id="123" w:name="_Toc16822"/>
      <w:bookmarkStart w:id="124" w:name="_Toc477"/>
      <w:bookmarkStart w:id="125" w:name="_Toc3485"/>
      <w:r>
        <w:rPr>
          <w:rFonts w:hint="eastAsia" w:ascii="宋体" w:hAnsi="宋体"/>
          <w:b/>
          <w:sz w:val="36"/>
          <w:highlight w:val="none"/>
        </w:rPr>
        <w:t>项 目 编 号：</w:t>
      </w:r>
      <w:bookmarkEnd w:id="123"/>
      <w:bookmarkEnd w:id="124"/>
      <w:bookmarkEnd w:id="125"/>
    </w:p>
    <w:p>
      <w:pPr>
        <w:kinsoku w:val="0"/>
        <w:overflowPunct w:val="0"/>
        <w:adjustRightInd/>
        <w:spacing w:line="400" w:lineRule="atLeast"/>
        <w:rPr>
          <w:rFonts w:ascii="宋体" w:hAnsi="宋体"/>
          <w:b/>
          <w:sz w:val="36"/>
          <w:highlight w:val="none"/>
        </w:rPr>
      </w:pPr>
      <w:r>
        <w:rPr>
          <w:rFonts w:hint="eastAsia" w:ascii="宋体" w:hAnsi="宋体"/>
          <w:b/>
          <w:sz w:val="36"/>
          <w:highlight w:val="none"/>
        </w:rPr>
        <w:t xml:space="preserve">    </w:t>
      </w: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jc w:val="left"/>
        <w:rPr>
          <w:rFonts w:ascii="宋体" w:hAnsi="宋体"/>
          <w:b/>
          <w:bCs/>
          <w:sz w:val="32"/>
          <w:szCs w:val="32"/>
          <w:highlight w:val="non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26" w:name="_Toc12676"/>
      <w:bookmarkStart w:id="127" w:name="_Toc31210"/>
      <w:bookmarkStart w:id="128" w:name="_Toc26010"/>
      <w:bookmarkStart w:id="129" w:name="_Toc10610"/>
      <w:bookmarkStart w:id="130" w:name="_Toc27454"/>
      <w:r>
        <w:rPr>
          <w:rFonts w:hint="eastAsia" w:ascii="宋体" w:hAnsi="宋体"/>
          <w:b/>
          <w:bCs/>
          <w:sz w:val="30"/>
          <w:szCs w:val="30"/>
          <w:highlight w:val="none"/>
        </w:rPr>
        <w:t>报价单位：</w:t>
      </w:r>
      <w:r>
        <w:rPr>
          <w:rFonts w:hint="eastAsia" w:ascii="宋体" w:hAnsi="宋体"/>
          <w:b/>
          <w:bCs/>
          <w:sz w:val="30"/>
          <w:szCs w:val="30"/>
          <w:highlight w:val="none"/>
          <w:u w:val="single"/>
        </w:rPr>
        <w:t xml:space="preserve">                           （盖公章）</w:t>
      </w:r>
      <w:bookmarkEnd w:id="126"/>
      <w:bookmarkEnd w:id="127"/>
      <w:bookmarkEnd w:id="128"/>
      <w:bookmarkEnd w:id="129"/>
      <w:bookmarkEnd w:id="130"/>
    </w:p>
    <w:p>
      <w:pPr>
        <w:kinsoku w:val="0"/>
        <w:overflowPunct w:val="0"/>
        <w:adjustRightInd/>
        <w:spacing w:line="400" w:lineRule="atLeast"/>
        <w:jc w:val="left"/>
        <w:rPr>
          <w:rFonts w:ascii="宋体" w:hAnsi="宋体"/>
          <w:b/>
          <w:bCs/>
          <w:sz w:val="30"/>
          <w:szCs w:val="30"/>
          <w:highlight w:val="none"/>
          <w:u w:val="singl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31" w:name="_Toc26421"/>
      <w:bookmarkStart w:id="132" w:name="_Toc2110"/>
      <w:bookmarkStart w:id="133" w:name="_Toc16600"/>
      <w:bookmarkStart w:id="134" w:name="_Toc22504"/>
      <w:bookmarkStart w:id="135" w:name="_Toc28416"/>
      <w:r>
        <w:rPr>
          <w:rFonts w:hint="eastAsia" w:ascii="宋体" w:hAnsi="宋体"/>
          <w:b/>
          <w:bCs/>
          <w:sz w:val="30"/>
          <w:szCs w:val="30"/>
          <w:highlight w:val="none"/>
        </w:rPr>
        <w:t>法定代表人或其委托代理人：</w:t>
      </w:r>
      <w:bookmarkEnd w:id="131"/>
      <w:bookmarkEnd w:id="132"/>
      <w:bookmarkEnd w:id="133"/>
      <w:bookmarkEnd w:id="134"/>
      <w:bookmarkEnd w:id="135"/>
      <w:r>
        <w:rPr>
          <w:rFonts w:hint="eastAsia" w:ascii="宋体" w:hAnsi="宋体"/>
          <w:b/>
          <w:bCs/>
          <w:sz w:val="30"/>
          <w:szCs w:val="30"/>
          <w:highlight w:val="none"/>
          <w:u w:val="single"/>
        </w:rPr>
        <w:t xml:space="preserve">                     </w:t>
      </w:r>
    </w:p>
    <w:p>
      <w:pPr>
        <w:kinsoku w:val="0"/>
        <w:overflowPunct w:val="0"/>
        <w:adjustRightInd/>
        <w:spacing w:line="400" w:lineRule="atLeast"/>
        <w:outlineLvl w:val="0"/>
        <w:rPr>
          <w:rFonts w:ascii="宋体" w:hAnsi="宋体"/>
          <w:b/>
          <w:bCs/>
          <w:sz w:val="28"/>
          <w:szCs w:val="28"/>
          <w:highlight w:val="none"/>
        </w:rPr>
      </w:pPr>
      <w:bookmarkStart w:id="136" w:name="_Toc7142"/>
      <w:bookmarkStart w:id="137" w:name="_Toc7425"/>
      <w:bookmarkStart w:id="138" w:name="_Toc19182"/>
      <w:bookmarkStart w:id="139" w:name="_Toc24026"/>
      <w:bookmarkStart w:id="140" w:name="_Toc14233"/>
    </w:p>
    <w:p>
      <w:pPr>
        <w:kinsoku w:val="0"/>
        <w:overflowPunct w:val="0"/>
        <w:adjustRightInd/>
        <w:spacing w:line="400" w:lineRule="atLeast"/>
        <w:jc w:val="center"/>
        <w:outlineLvl w:val="0"/>
        <w:rPr>
          <w:rFonts w:ascii="宋体" w:hAnsi="宋体"/>
          <w:b/>
          <w:bCs/>
          <w:sz w:val="28"/>
          <w:szCs w:val="28"/>
          <w:highlight w:val="none"/>
        </w:rPr>
      </w:pPr>
      <w:r>
        <w:rPr>
          <w:rFonts w:hint="eastAsia" w:ascii="宋体" w:hAnsi="宋体"/>
          <w:b/>
          <w:bCs/>
          <w:sz w:val="28"/>
          <w:szCs w:val="28"/>
          <w:highlight w:val="none"/>
        </w:rPr>
        <w:t>报价日期：202</w:t>
      </w:r>
      <w:r>
        <w:rPr>
          <w:rFonts w:ascii="宋体" w:hAnsi="宋体"/>
          <w:b/>
          <w:bCs/>
          <w:sz w:val="28"/>
          <w:szCs w:val="28"/>
          <w:highlight w:val="none"/>
        </w:rPr>
        <w:t>2</w:t>
      </w:r>
      <w:r>
        <w:rPr>
          <w:rFonts w:hint="eastAsia" w:ascii="宋体" w:hAnsi="宋体"/>
          <w:b/>
          <w:bCs/>
          <w:sz w:val="28"/>
          <w:szCs w:val="28"/>
          <w:highlight w:val="none"/>
        </w:rPr>
        <w:t xml:space="preserve"> 年  月   日</w:t>
      </w:r>
      <w:bookmarkEnd w:id="136"/>
      <w:bookmarkEnd w:id="137"/>
      <w:bookmarkEnd w:id="138"/>
      <w:bookmarkEnd w:id="139"/>
      <w:bookmarkEnd w:id="140"/>
    </w:p>
    <w:p>
      <w:pPr>
        <w:widowControl/>
        <w:autoSpaceDE/>
        <w:autoSpaceDN/>
        <w:adjustRightInd/>
        <w:spacing w:line="240" w:lineRule="auto"/>
        <w:jc w:val="left"/>
        <w:textAlignment w:val="auto"/>
        <w:rPr>
          <w:rFonts w:ascii="宋体" w:hAnsi="宋体"/>
          <w:b/>
          <w:bCs/>
          <w:sz w:val="28"/>
          <w:szCs w:val="28"/>
          <w:highlight w:val="none"/>
        </w:rPr>
      </w:pPr>
      <w:r>
        <w:rPr>
          <w:rFonts w:ascii="宋体" w:hAnsi="宋体"/>
          <w:b/>
          <w:bCs/>
          <w:sz w:val="28"/>
          <w:szCs w:val="28"/>
          <w:highlight w:val="none"/>
        </w:rPr>
        <w:br w:type="page"/>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响应函（见附件1）；</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报价表（见附件2）；</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法定代表人证明书（见附件3）；</w:t>
      </w:r>
    </w:p>
    <w:p>
      <w:pPr>
        <w:numPr>
          <w:ilvl w:val="0"/>
          <w:numId w:val="48"/>
        </w:numPr>
        <w:kinsoku w:val="0"/>
        <w:overflowPunct w:val="0"/>
        <w:snapToGrid w:val="0"/>
        <w:spacing w:line="400" w:lineRule="atLeast"/>
        <w:ind w:firstLine="0"/>
        <w:textAlignment w:val="auto"/>
        <w:rPr>
          <w:rFonts w:ascii="宋体" w:hAnsi="宋体"/>
          <w:sz w:val="24"/>
          <w:szCs w:val="24"/>
          <w:highlight w:val="none"/>
        </w:rPr>
      </w:pPr>
      <w:r>
        <w:rPr>
          <w:rFonts w:hint="eastAsia" w:ascii="宋体" w:hAnsi="宋体"/>
          <w:sz w:val="24"/>
          <w:szCs w:val="24"/>
          <w:highlight w:val="none"/>
        </w:rPr>
        <w:t>法人授权委托书（见附件4，报价签字代表为法定代表人，则本附件不需要提供）；</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关于资格的声明函（见附件5）；</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报价方廉洁承诺书（见附件6）；</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企业能有效识别二维码且加盖报价单位公章的营业执照复印件（见附件7）；</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企业加盖报价单位公章的相关资质证明文件（见附件8）；</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相关业绩证明，提供合同复印件（见附件9）；</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质量保证和售后服务承诺书（见附件10）；</w:t>
      </w:r>
    </w:p>
    <w:p>
      <w:pPr>
        <w:numPr>
          <w:ilvl w:val="0"/>
          <w:numId w:val="4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报价方认为需要提供的其他资料（见附件11）。</w:t>
      </w:r>
    </w:p>
    <w:p>
      <w:pPr>
        <w:widowControl/>
        <w:autoSpaceDE/>
        <w:autoSpaceDN/>
        <w:adjustRightInd/>
        <w:spacing w:line="240" w:lineRule="auto"/>
        <w:jc w:val="left"/>
        <w:textAlignment w:val="auto"/>
        <w:rPr>
          <w:rFonts w:ascii="宋体" w:hAnsi="宋体"/>
          <w:sz w:val="24"/>
          <w:szCs w:val="24"/>
          <w:highlight w:val="none"/>
        </w:rPr>
      </w:pPr>
      <w:r>
        <w:rPr>
          <w:rFonts w:ascii="宋体" w:hAnsi="宋体"/>
          <w:sz w:val="24"/>
          <w:szCs w:val="24"/>
          <w:highlight w:val="none"/>
        </w:rPr>
        <w:br w:type="page"/>
      </w:r>
    </w:p>
    <w:p>
      <w:pPr>
        <w:pStyle w:val="65"/>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bookmarkStart w:id="141" w:name="_Toc2425_WPSOffice_Level2"/>
      <w:bookmarkStart w:id="142" w:name="_Toc29175_WPSOffice_Level1"/>
      <w:r>
        <w:rPr>
          <w:rFonts w:hint="eastAsia" w:eastAsia="宋体" w:cs="宋体"/>
          <w:b w:val="0"/>
          <w:bCs/>
          <w:sz w:val="28"/>
          <w:szCs w:val="18"/>
          <w:highlight w:val="none"/>
        </w:rPr>
        <w:t>附件1 响应函</w:t>
      </w:r>
      <w:bookmarkEnd w:id="141"/>
      <w:bookmarkEnd w:id="142"/>
    </w:p>
    <w:p>
      <w:pPr>
        <w:pStyle w:val="65"/>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p>
    <w:p>
      <w:p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厦门海发环保能源股份有限公司：</w:t>
      </w:r>
    </w:p>
    <w:p>
      <w:pPr>
        <w:numPr>
          <w:ilvl w:val="0"/>
          <w:numId w:val="49"/>
        </w:num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我方已仔细研究了</w:t>
      </w:r>
      <w:r>
        <w:rPr>
          <w:rFonts w:hint="eastAsia" w:ascii="宋体" w:hAnsi="宋体" w:cs="宋体"/>
          <w:spacing w:val="-4"/>
          <w:sz w:val="24"/>
          <w:szCs w:val="24"/>
          <w:highlight w:val="none"/>
          <w:u w:val="single"/>
        </w:rPr>
        <w:t xml:space="preserve"> </w:t>
      </w:r>
      <w:r>
        <w:rPr>
          <w:rFonts w:ascii="宋体" w:hAnsi="宋体" w:cs="宋体"/>
          <w:spacing w:val="-4"/>
          <w:sz w:val="24"/>
          <w:szCs w:val="24"/>
          <w:highlight w:val="none"/>
          <w:u w:val="single"/>
        </w:rPr>
        <w:t>2022</w:t>
      </w:r>
      <w:r>
        <w:rPr>
          <w:rFonts w:hint="eastAsia" w:ascii="宋体" w:hAnsi="宋体" w:cs="宋体"/>
          <w:spacing w:val="-4"/>
          <w:sz w:val="24"/>
          <w:szCs w:val="24"/>
          <w:highlight w:val="none"/>
          <w:u w:val="single"/>
        </w:rPr>
        <w:t>厂区水量平衡测试</w:t>
      </w:r>
      <w:r>
        <w:rPr>
          <w:rFonts w:hint="eastAsia" w:ascii="宋体" w:hAnsi="宋体" w:cs="宋体"/>
          <w:bCs/>
          <w:kern w:val="2"/>
          <w:sz w:val="24"/>
          <w:szCs w:val="24"/>
          <w:highlight w:val="none"/>
          <w:u w:val="single"/>
        </w:rPr>
        <w:t xml:space="preserve"> </w:t>
      </w:r>
      <w:r>
        <w:rPr>
          <w:rFonts w:hint="eastAsia" w:ascii="宋体" w:hAnsi="宋体" w:cs="宋体"/>
          <w:spacing w:val="-4"/>
          <w:sz w:val="24"/>
          <w:szCs w:val="24"/>
          <w:highlight w:val="none"/>
        </w:rPr>
        <w:t>项目的谈判文件全部内容，愿意以人民币</w:t>
      </w:r>
      <w:r>
        <w:rPr>
          <w:rFonts w:hint="eastAsia" w:ascii="宋体" w:hAnsi="宋体" w:cs="宋体"/>
          <w:spacing w:val="-4"/>
          <w:sz w:val="24"/>
          <w:szCs w:val="24"/>
          <w:highlight w:val="none"/>
          <w:u w:val="single"/>
        </w:rPr>
        <w:t xml:space="preserve"> </w:t>
      </w:r>
      <w:r>
        <w:rPr>
          <w:rFonts w:ascii="宋体" w:hAnsi="宋体" w:cs="宋体"/>
          <w:spacing w:val="-4"/>
          <w:sz w:val="24"/>
          <w:szCs w:val="24"/>
          <w:highlight w:val="none"/>
          <w:u w:val="single"/>
        </w:rPr>
        <w:t xml:space="preserve">        </w:t>
      </w:r>
      <w:r>
        <w:rPr>
          <w:rFonts w:hint="eastAsia" w:ascii="宋体" w:hAnsi="宋体" w:cs="宋体"/>
          <w:spacing w:val="-4"/>
          <w:sz w:val="24"/>
          <w:szCs w:val="24"/>
          <w:highlight w:val="none"/>
        </w:rPr>
        <w:t>总报价，含</w:t>
      </w:r>
      <w:r>
        <w:rPr>
          <w:rFonts w:ascii="宋体" w:hAnsi="宋体" w:cs="宋体"/>
          <w:spacing w:val="-4"/>
          <w:sz w:val="24"/>
          <w:szCs w:val="24"/>
          <w:highlight w:val="none"/>
        </w:rPr>
        <w:t>6</w:t>
      </w:r>
      <w:r>
        <w:rPr>
          <w:rFonts w:hint="eastAsia" w:ascii="宋体" w:hAnsi="宋体" w:cs="宋体"/>
          <w:spacing w:val="-4"/>
          <w:sz w:val="24"/>
          <w:szCs w:val="24"/>
          <w:highlight w:val="none"/>
        </w:rPr>
        <w:t>％增值税专用发票。按照谈判文件、项目合同、和技术规范等承接上述测试项目的所有工作。</w:t>
      </w:r>
    </w:p>
    <w:p>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我方承诺在谈判文件规定的报价有效期内不修改、撤销报价文件。</w:t>
      </w:r>
    </w:p>
    <w:p>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如我方确定为成交供应商，我方承诺在收到成交通知书后，在成交通知书规定的期限内完成合同签订，并保证为本项目提供优质服务，项目及配套材料质量标准均符合国家有关标准要求。</w:t>
      </w:r>
    </w:p>
    <w:p>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本响应函及报价文件属于合同文件的组成部分。</w:t>
      </w:r>
    </w:p>
    <w:p>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我方承诺按谈判文件的规定履行合同责任和义务，并在合同约定的期限内</w:t>
      </w:r>
      <w:r>
        <w:rPr>
          <w:rFonts w:hint="eastAsia" w:ascii="宋体" w:hAnsi="宋体" w:cs="宋体"/>
          <w:spacing w:val="-4"/>
          <w:sz w:val="24"/>
          <w:szCs w:val="24"/>
          <w:highlight w:val="none"/>
          <w:lang w:val="en-US" w:eastAsia="zh-CN"/>
        </w:rPr>
        <w:t>完成本次水平衡测试服务项目</w:t>
      </w:r>
      <w:r>
        <w:rPr>
          <w:rFonts w:hint="eastAsia" w:ascii="宋体" w:hAnsi="宋体" w:cs="宋体"/>
          <w:spacing w:val="-4"/>
          <w:sz w:val="24"/>
          <w:szCs w:val="24"/>
          <w:highlight w:val="none"/>
        </w:rPr>
        <w:t>。</w:t>
      </w:r>
    </w:p>
    <w:p>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我方在此声明，所递交的报价文件及有关资料内容完整、真实和准确，且不存在违反谈判文件规定的任何一种条款。</w:t>
      </w:r>
    </w:p>
    <w:p>
      <w:pPr>
        <w:kinsoku w:val="0"/>
        <w:overflowPunct w:val="0"/>
        <w:adjustRightInd/>
        <w:spacing w:line="400" w:lineRule="atLeast"/>
        <w:jc w:val="center"/>
        <w:textAlignment w:val="auto"/>
        <w:rPr>
          <w:rFonts w:ascii="宋体" w:hAnsi="宋体" w:cs="宋体"/>
          <w:spacing w:val="-4"/>
          <w:sz w:val="24"/>
          <w:szCs w:val="24"/>
          <w:highlight w:val="none"/>
        </w:rPr>
      </w:pPr>
    </w:p>
    <w:p>
      <w:pPr>
        <w:kinsoku w:val="0"/>
        <w:overflowPunct w:val="0"/>
        <w:autoSpaceDE/>
        <w:autoSpaceDN/>
        <w:snapToGrid w:val="0"/>
        <w:spacing w:line="520" w:lineRule="atLeast"/>
        <w:ind w:firstLine="3712" w:firstLineChars="1600"/>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w:t>
      </w: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5"/>
        <w:spacing w:before="0" w:line="240" w:lineRule="auto"/>
        <w:rPr>
          <w:rFonts w:eastAsia="宋体" w:cs="宋体"/>
          <w:b/>
          <w:bCs w:val="0"/>
          <w:sz w:val="28"/>
          <w:szCs w:val="28"/>
          <w:highlight w:val="none"/>
        </w:rPr>
      </w:pPr>
      <w:r>
        <w:rPr>
          <w:rFonts w:hint="eastAsia" w:eastAsia="宋体" w:cs="宋体"/>
          <w:b w:val="0"/>
          <w:bCs/>
          <w:sz w:val="28"/>
          <w:szCs w:val="28"/>
          <w:highlight w:val="none"/>
        </w:rPr>
        <w:t xml:space="preserve">附件2 </w:t>
      </w:r>
      <w:r>
        <w:rPr>
          <w:rFonts w:hint="eastAsia" w:eastAsia="宋体" w:cs="宋体"/>
          <w:b/>
          <w:bCs w:val="0"/>
          <w:sz w:val="28"/>
          <w:szCs w:val="28"/>
          <w:highlight w:val="none"/>
        </w:rPr>
        <w:t>2</w:t>
      </w:r>
      <w:r>
        <w:rPr>
          <w:rFonts w:eastAsia="宋体" w:cs="宋体"/>
          <w:b/>
          <w:bCs w:val="0"/>
          <w:sz w:val="28"/>
          <w:szCs w:val="28"/>
          <w:highlight w:val="none"/>
        </w:rPr>
        <w:t>022</w:t>
      </w:r>
      <w:r>
        <w:rPr>
          <w:rFonts w:hint="eastAsia" w:eastAsia="宋体" w:cs="宋体"/>
          <w:b/>
          <w:bCs w:val="0"/>
          <w:sz w:val="28"/>
          <w:szCs w:val="28"/>
          <w:highlight w:val="none"/>
        </w:rPr>
        <w:t>厂区水量平衡测试项目报价表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55"/>
        <w:gridCol w:w="522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0"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945"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具体项目</w:t>
            </w:r>
          </w:p>
        </w:tc>
        <w:tc>
          <w:tcPr>
            <w:tcW w:w="2812"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工作内容</w:t>
            </w:r>
          </w:p>
        </w:tc>
        <w:tc>
          <w:tcPr>
            <w:tcW w:w="861"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80" w:type="pct"/>
            <w:vAlign w:val="center"/>
          </w:tcPr>
          <w:p>
            <w:pPr>
              <w:pageBreakBefore w:val="0"/>
              <w:widowControl w:val="0"/>
              <w:kinsoku/>
              <w:wordWrap/>
              <w:overflowPunct/>
              <w:topLinePunct w:val="0"/>
              <w:bidi w:val="0"/>
              <w:adjustRightInd/>
              <w:snapToGrid/>
              <w:spacing w:line="400" w:lineRule="exact"/>
              <w:ind w:left="0" w:leftChars="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945"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水平衡测试</w:t>
            </w:r>
            <w:r>
              <w:rPr>
                <w:rFonts w:hint="eastAsia" w:ascii="宋体" w:hAnsi="宋体" w:eastAsia="宋体" w:cs="宋体"/>
                <w:bCs/>
                <w:sz w:val="21"/>
                <w:szCs w:val="21"/>
                <w:highlight w:val="none"/>
                <w:lang w:eastAsia="zh-CN"/>
              </w:rPr>
              <w:t>费用</w:t>
            </w:r>
          </w:p>
        </w:tc>
        <w:tc>
          <w:tcPr>
            <w:tcW w:w="2812" w:type="pct"/>
            <w:vAlign w:val="center"/>
          </w:tcPr>
          <w:p>
            <w:pPr>
              <w:pageBreakBefore w:val="0"/>
              <w:widowControl w:val="0"/>
              <w:kinsoku/>
              <w:wordWrap/>
              <w:overflowPunct/>
              <w:topLinePunct w:val="0"/>
              <w:bidi w:val="0"/>
              <w:adjustRightInd/>
              <w:snapToGrid/>
              <w:spacing w:line="400" w:lineRule="exact"/>
              <w:ind w:left="0" w:leftChars="0"/>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对厂区内水网系统进行</w:t>
            </w:r>
            <w:r>
              <w:rPr>
                <w:rFonts w:hint="eastAsia" w:ascii="宋体" w:hAnsi="宋体" w:eastAsia="宋体" w:cs="宋体"/>
                <w:bCs/>
                <w:sz w:val="21"/>
                <w:szCs w:val="21"/>
                <w:highlight w:val="none"/>
                <w:lang w:val="en-US" w:eastAsia="zh-CN"/>
              </w:rPr>
              <w:t>水状况</w:t>
            </w:r>
            <w:r>
              <w:rPr>
                <w:rFonts w:hint="eastAsia" w:ascii="宋体" w:hAnsi="宋体" w:eastAsia="宋体" w:cs="宋体"/>
                <w:bCs/>
                <w:sz w:val="21"/>
                <w:szCs w:val="21"/>
                <w:highlight w:val="none"/>
                <w:lang w:eastAsia="zh-CN"/>
              </w:rPr>
              <w:t>勘察、</w:t>
            </w:r>
            <w:r>
              <w:rPr>
                <w:rFonts w:hint="eastAsia" w:ascii="宋体" w:hAnsi="宋体" w:eastAsia="宋体" w:cs="宋体"/>
                <w:bCs/>
                <w:sz w:val="21"/>
                <w:szCs w:val="21"/>
                <w:highlight w:val="none"/>
                <w:lang w:val="en-US" w:eastAsia="zh-CN"/>
              </w:rPr>
              <w:t>管网安全检查、水平衡</w:t>
            </w:r>
            <w:r>
              <w:rPr>
                <w:rFonts w:hint="eastAsia" w:ascii="宋体" w:hAnsi="宋体" w:eastAsia="宋体" w:cs="宋体"/>
                <w:bCs/>
                <w:sz w:val="21"/>
                <w:szCs w:val="21"/>
                <w:highlight w:val="none"/>
                <w:lang w:eastAsia="zh-CN"/>
              </w:rPr>
              <w:t>测试、</w:t>
            </w:r>
            <w:r>
              <w:rPr>
                <w:rFonts w:hint="eastAsia" w:ascii="宋体" w:hAnsi="宋体" w:eastAsia="宋体" w:cs="宋体"/>
                <w:bCs/>
                <w:sz w:val="21"/>
                <w:szCs w:val="21"/>
                <w:highlight w:val="none"/>
                <w:lang w:val="en-US" w:eastAsia="zh-CN"/>
              </w:rPr>
              <w:t>分析及</w:t>
            </w:r>
            <w:r>
              <w:rPr>
                <w:rFonts w:hint="eastAsia" w:ascii="宋体" w:hAnsi="宋体" w:eastAsia="宋体" w:cs="宋体"/>
                <w:bCs/>
                <w:sz w:val="21"/>
                <w:szCs w:val="21"/>
                <w:highlight w:val="none"/>
                <w:lang w:eastAsia="zh-CN"/>
              </w:rPr>
              <w:t>评估、</w:t>
            </w:r>
            <w:r>
              <w:rPr>
                <w:rFonts w:hint="eastAsia" w:ascii="宋体" w:hAnsi="宋体" w:eastAsia="宋体" w:cs="宋体"/>
                <w:bCs/>
                <w:sz w:val="21"/>
                <w:szCs w:val="21"/>
                <w:highlight w:val="none"/>
                <w:lang w:val="en-US" w:eastAsia="zh-CN"/>
              </w:rPr>
              <w:t>审核</w:t>
            </w:r>
            <w:r>
              <w:rPr>
                <w:rFonts w:hint="eastAsia" w:ascii="宋体" w:hAnsi="宋体" w:eastAsia="宋体" w:cs="宋体"/>
                <w:bCs/>
                <w:sz w:val="21"/>
                <w:szCs w:val="21"/>
                <w:highlight w:val="none"/>
                <w:lang w:eastAsia="zh-CN"/>
              </w:rPr>
              <w:t>验收费用。</w:t>
            </w:r>
          </w:p>
        </w:tc>
        <w:tc>
          <w:tcPr>
            <w:tcW w:w="861"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80"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w:t>
            </w:r>
          </w:p>
        </w:tc>
        <w:tc>
          <w:tcPr>
            <w:tcW w:w="945"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水表更换费用</w:t>
            </w:r>
          </w:p>
        </w:tc>
        <w:tc>
          <w:tcPr>
            <w:tcW w:w="2812" w:type="pct"/>
            <w:vAlign w:val="center"/>
          </w:tcPr>
          <w:p>
            <w:pPr>
              <w:pageBreakBefore w:val="0"/>
              <w:widowControl w:val="0"/>
              <w:kinsoku/>
              <w:wordWrap/>
              <w:overflowPunct/>
              <w:topLinePunct w:val="0"/>
              <w:bidi w:val="0"/>
              <w:adjustRightInd/>
              <w:snapToGrid/>
              <w:spacing w:line="400" w:lineRule="exact"/>
              <w:ind w:left="0" w:leftChars="0"/>
              <w:jc w:val="both"/>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满足水平衡测试验收标准要求水表更换费用</w:t>
            </w:r>
          </w:p>
        </w:tc>
        <w:tc>
          <w:tcPr>
            <w:tcW w:w="861"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138" w:type="pct"/>
            <w:gridSpan w:val="3"/>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合计</w:t>
            </w:r>
          </w:p>
        </w:tc>
        <w:tc>
          <w:tcPr>
            <w:tcW w:w="861" w:type="pct"/>
            <w:vAlign w:val="center"/>
          </w:tcPr>
          <w:p>
            <w:pPr>
              <w:pageBreakBefore w:val="0"/>
              <w:widowControl w:val="0"/>
              <w:kinsoku/>
              <w:wordWrap/>
              <w:overflowPunct/>
              <w:topLinePunct w:val="0"/>
              <w:bidi w:val="0"/>
              <w:adjustRightInd/>
              <w:snapToGrid/>
              <w:spacing w:line="400" w:lineRule="exact"/>
              <w:ind w:left="0" w:leftChars="0"/>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000" w:type="pct"/>
            <w:gridSpan w:val="4"/>
            <w:vAlign w:val="center"/>
          </w:tcPr>
          <w:p>
            <w:pPr>
              <w:pStyle w:val="79"/>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备注：以上报价均含6%增值税专用发票</w:t>
            </w:r>
            <w:r>
              <w:rPr>
                <w:rFonts w:hint="eastAsia" w:ascii="宋体" w:hAnsi="宋体" w:cs="宋体"/>
                <w:bCs/>
                <w:spacing w:val="-4"/>
                <w:sz w:val="24"/>
                <w:szCs w:val="24"/>
                <w:highlight w:val="none"/>
              </w:rPr>
              <w:t>（报价方报价非6％增值税专用发票，评审时将统一折算成6％税率进行比价</w:t>
            </w:r>
            <w:r>
              <w:rPr>
                <w:rFonts w:hint="eastAsia" w:ascii="宋体" w:hAnsi="宋体" w:cs="宋体"/>
                <w:bCs/>
                <w:spacing w:val="-4"/>
                <w:sz w:val="24"/>
                <w:szCs w:val="24"/>
                <w:highlight w:val="none"/>
                <w:lang w:eastAsia="zh-CN"/>
              </w:rPr>
              <w:t>）</w:t>
            </w:r>
            <w:r>
              <w:rPr>
                <w:rFonts w:hint="eastAsia" w:ascii="宋体" w:hAnsi="宋体" w:cs="宋体"/>
                <w:bCs/>
                <w:spacing w:val="-4"/>
                <w:sz w:val="24"/>
                <w:szCs w:val="24"/>
                <w:highlight w:val="none"/>
              </w:rPr>
              <w:t>。</w:t>
            </w:r>
            <w:r>
              <w:rPr>
                <w:rFonts w:hint="eastAsia" w:ascii="宋体" w:hAnsi="宋体" w:eastAsia="宋体" w:cs="宋体"/>
                <w:bCs/>
                <w:sz w:val="24"/>
                <w:szCs w:val="24"/>
                <w:highlight w:val="none"/>
              </w:rPr>
              <w:t>若国家税率调整，含税价格须作相应调整。</w:t>
            </w:r>
          </w:p>
        </w:tc>
      </w:tr>
    </w:tbl>
    <w:p>
      <w:pPr>
        <w:pStyle w:val="62"/>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9"/>
        <w:rPr>
          <w:rFonts w:hint="default" w:hAnsi="宋体" w:eastAsia="宋体" w:cs="宋体"/>
          <w:b/>
          <w:bCs/>
          <w:spacing w:val="-4"/>
          <w:kern w:val="0"/>
          <w:sz w:val="24"/>
          <w:szCs w:val="24"/>
          <w:highlight w:val="none"/>
          <w:lang w:val="en-US" w:eastAsia="zh-CN"/>
        </w:rPr>
      </w:pPr>
      <w:r>
        <w:rPr>
          <w:rFonts w:hint="eastAsia" w:hAnsi="宋体" w:cs="宋体"/>
          <w:b/>
          <w:bCs/>
          <w:spacing w:val="-4"/>
          <w:kern w:val="0"/>
          <w:sz w:val="24"/>
          <w:szCs w:val="24"/>
          <w:highlight w:val="none"/>
          <w:lang w:val="en-US" w:eastAsia="zh-CN"/>
        </w:rPr>
        <w:t>水表更换报价明细表</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3129"/>
        <w:gridCol w:w="3613"/>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水表位置</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循环水池补水水表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冲灰泵出水水表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重复利用回用水池补水水表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重复利用干灰库水表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消防水泵出水水表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生活水泵出口</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办公楼男卫</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办公楼女卫</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生活水池进水水表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主厂房屋顶消防水箱</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绿化及道路喷洒</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化水车间卫生间、地磅用水水表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 水平旋翼式</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煤库外侧水表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立式表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洗车场水表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立式表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除尘空压机房卫生间水表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立式表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食堂厨房</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立式表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食堂洗手池</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立式表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集控洗手间</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 立式表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主控茶水间</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 上海大肚水表特种规格</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公用水池补水水表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 上海大肚水表特种规格</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脱硝除尘1号炉水表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上海大肚水表特种规格</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脱硝除尘3号炉水表</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 （元）</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62"/>
        <w:spacing w:line="360" w:lineRule="auto"/>
        <w:ind w:firstLine="3712" w:firstLineChars="1600"/>
        <w:outlineLvl w:val="9"/>
        <w:rPr>
          <w:rFonts w:hint="eastAsia" w:hAnsi="宋体" w:cs="宋体"/>
          <w:spacing w:val="-4"/>
          <w:kern w:val="0"/>
          <w:sz w:val="24"/>
          <w:szCs w:val="24"/>
          <w:highlight w:val="none"/>
        </w:rPr>
      </w:pPr>
    </w:p>
    <w:p>
      <w:pPr>
        <w:pStyle w:val="62"/>
        <w:spacing w:line="360" w:lineRule="auto"/>
        <w:ind w:firstLine="3712" w:firstLineChars="1600"/>
        <w:outlineLvl w:val="9"/>
        <w:rPr>
          <w:rFonts w:hAnsi="宋体"/>
          <w:bCs/>
          <w:sz w:val="24"/>
          <w:highlight w:val="none"/>
          <w:u w:val="single"/>
        </w:rPr>
      </w:pPr>
      <w:r>
        <w:rPr>
          <w:rFonts w:hint="eastAsia" w:hAnsi="宋体" w:cs="宋体"/>
          <w:spacing w:val="-4"/>
          <w:kern w:val="0"/>
          <w:sz w:val="24"/>
          <w:szCs w:val="24"/>
          <w:highlight w:val="none"/>
        </w:rPr>
        <w:t xml:space="preserve"> 法定代表人或授权代理人</w:t>
      </w:r>
      <w:r>
        <w:rPr>
          <w:rFonts w:hint="eastAsia" w:hAnsi="宋体"/>
          <w:bCs/>
          <w:sz w:val="24"/>
          <w:highlight w:val="none"/>
        </w:rPr>
        <w:t>：</w:t>
      </w:r>
      <w:r>
        <w:rPr>
          <w:rFonts w:hAnsi="宋体"/>
          <w:bCs/>
          <w:sz w:val="24"/>
          <w:highlight w:val="none"/>
          <w:u w:val="single"/>
        </w:rPr>
        <w:t xml:space="preserve">                      </w:t>
      </w:r>
    </w:p>
    <w:p>
      <w:pPr>
        <w:pStyle w:val="62"/>
        <w:spacing w:line="360" w:lineRule="auto"/>
        <w:ind w:firstLine="5040" w:firstLineChars="2100"/>
        <w:outlineLvl w:val="9"/>
        <w:rPr>
          <w:rFonts w:ascii="宋体" w:hAnsi="宋体"/>
          <w:sz w:val="24"/>
          <w:szCs w:val="24"/>
          <w:highlight w:val="none"/>
          <w:u w:val="single"/>
        </w:rPr>
      </w:pPr>
      <w:r>
        <w:rPr>
          <w:rFonts w:hint="eastAsia" w:hAnsi="宋体"/>
          <w:kern w:val="0"/>
          <w:sz w:val="24"/>
          <w:szCs w:val="24"/>
          <w:highlight w:val="none"/>
        </w:rPr>
        <w:t>（盖章）</w:t>
      </w:r>
    </w:p>
    <w:p>
      <w:pPr>
        <w:jc w:val="center"/>
        <w:rPr>
          <w:rFonts w:cs="宋体"/>
          <w:bCs/>
          <w:sz w:val="24"/>
          <w:szCs w:val="24"/>
          <w:highlight w:val="none"/>
        </w:rPr>
      </w:pPr>
      <w:r>
        <w:rPr>
          <w:rFonts w:hint="eastAsia" w:cs="宋体"/>
          <w:bCs/>
          <w:sz w:val="28"/>
          <w:szCs w:val="28"/>
          <w:highlight w:val="none"/>
          <w:lang w:val="en-US" w:eastAsia="zh-CN"/>
        </w:rPr>
        <w:t>附</w:t>
      </w:r>
      <w:r>
        <w:rPr>
          <w:rFonts w:hint="eastAsia" w:cs="宋体"/>
          <w:bCs/>
          <w:sz w:val="28"/>
          <w:szCs w:val="28"/>
          <w:highlight w:val="none"/>
        </w:rPr>
        <w:t xml:space="preserve">件3  </w:t>
      </w:r>
      <w:r>
        <w:rPr>
          <w:rFonts w:hint="eastAsia" w:cs="宋体"/>
          <w:bCs/>
          <w:sz w:val="24"/>
          <w:szCs w:val="24"/>
          <w:highlight w:val="none"/>
        </w:rPr>
        <w:t>法定代表人证明书</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企业名称：</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企业性质：</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地   址：</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成立时间：</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经营期限：</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姓名：</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性别：</w:t>
      </w:r>
      <w:r>
        <w:rPr>
          <w:rFonts w:hint="eastAsia" w:eastAsia="宋体" w:cs="宋体"/>
          <w:b w:val="0"/>
          <w:bCs/>
          <w:sz w:val="24"/>
          <w:szCs w:val="24"/>
          <w:highlight w:val="none"/>
          <w:u w:val="singl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年龄：</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职务：</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系</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（报价单位全称）的法定代表人。</w:t>
      </w:r>
    </w:p>
    <w:p>
      <w:pPr>
        <w:pStyle w:val="65"/>
        <w:keepNext w:val="0"/>
        <w:keepLines w:val="0"/>
        <w:kinsoku w:val="0"/>
        <w:overflowPunct w:val="0"/>
        <w:snapToGrid w:val="0"/>
        <w:spacing w:before="0" w:after="120" w:afterLines="50" w:line="520" w:lineRule="atLeast"/>
        <w:ind w:firstLine="520" w:firstLineChars="200"/>
        <w:jc w:val="both"/>
        <w:rPr>
          <w:rFonts w:eastAsia="宋体" w:cs="宋体"/>
          <w:b w:val="0"/>
          <w:bCs/>
          <w:sz w:val="24"/>
          <w:szCs w:val="24"/>
          <w:highlight w:val="none"/>
        </w:rPr>
      </w:pPr>
      <w:r>
        <w:rPr>
          <w:rFonts w:hint="eastAsia" w:eastAsia="宋体" w:cs="宋体"/>
          <w:b w:val="0"/>
          <w:bCs/>
          <w:sz w:val="24"/>
          <w:szCs w:val="24"/>
          <w:highlight w:val="none"/>
        </w:rPr>
        <w:t>特此证明！</w:t>
      </w: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附：法定代表人身份证正反面复印件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2500" w:type="pct"/>
          </w:tcPr>
          <w:p>
            <w:pPr>
              <w:spacing w:line="440" w:lineRule="exact"/>
              <w:rPr>
                <w:rFonts w:ascii="宋体" w:hAnsi="宋体"/>
                <w:sz w:val="24"/>
                <w:szCs w:val="24"/>
                <w:highlight w:val="none"/>
              </w:rPr>
            </w:pPr>
          </w:p>
        </w:tc>
      </w:tr>
    </w:tbl>
    <w:p>
      <w:pPr>
        <w:pStyle w:val="65"/>
        <w:keepNext w:val="0"/>
        <w:keepLines w:val="0"/>
        <w:autoSpaceDE w:val="0"/>
        <w:autoSpaceDN w:val="0"/>
        <w:snapToGrid w:val="0"/>
        <w:spacing w:before="0" w:after="0" w:line="240" w:lineRule="auto"/>
        <w:rPr>
          <w:rFonts w:eastAsia="宋体" w:cs="宋体"/>
          <w:b w:val="0"/>
          <w:bCs/>
          <w:sz w:val="28"/>
          <w:szCs w:val="28"/>
          <w:highlight w:val="none"/>
        </w:rPr>
      </w:pPr>
    </w:p>
    <w:p>
      <w:pPr>
        <w:kinsoku w:val="0"/>
        <w:overflowPunct w:val="0"/>
        <w:snapToGrid w:val="0"/>
        <w:spacing w:line="520" w:lineRule="exact"/>
        <w:ind w:firstLine="3600" w:firstLineChars="1500"/>
        <w:jc w:val="left"/>
        <w:rPr>
          <w:rFonts w:cs="宋体"/>
          <w:bCs/>
          <w:sz w:val="24"/>
          <w:szCs w:val="24"/>
          <w:highlight w:val="none"/>
        </w:rPr>
      </w:pPr>
      <w:r>
        <w:rPr>
          <w:rFonts w:hint="eastAsia" w:ascii="宋体" w:hAnsi="宋体"/>
          <w:bCs/>
          <w:sz w:val="24"/>
          <w:szCs w:val="24"/>
          <w:highlight w:val="none"/>
        </w:rPr>
        <w:t>报价单位（盖公章）：</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kinsoku w:val="0"/>
        <w:overflowPunct w:val="0"/>
        <w:snapToGrid w:val="0"/>
        <w:spacing w:line="520" w:lineRule="exact"/>
        <w:ind w:firstLine="5520" w:firstLineChars="2300"/>
        <w:jc w:val="left"/>
        <w:rPr>
          <w:rFonts w:ascii="宋体" w:hAnsi="宋体"/>
          <w:bCs/>
          <w:sz w:val="24"/>
          <w:szCs w:val="24"/>
          <w:highlight w:val="none"/>
        </w:rPr>
      </w:pPr>
      <w:r>
        <w:rPr>
          <w:rFonts w:hint="eastAsia" w:ascii="宋体" w:hAnsi="宋体"/>
          <w:bCs/>
          <w:sz w:val="24"/>
          <w:szCs w:val="24"/>
          <w:highlight w:val="none"/>
        </w:rPr>
        <w:t>日期：</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备注：法定代表人身份证正反面复印件可单独一页，但需加盖企业公章。</w:t>
      </w:r>
    </w:p>
    <w:p>
      <w:pPr>
        <w:pStyle w:val="65"/>
        <w:keepNext w:val="0"/>
        <w:keepLines w:val="0"/>
        <w:kinsoku w:val="0"/>
        <w:overflowPunct w:val="0"/>
        <w:snapToGrid w:val="0"/>
        <w:spacing w:before="0" w:after="0" w:line="240" w:lineRule="auto"/>
        <w:rPr>
          <w:rFonts w:eastAsia="宋体" w:cs="宋体"/>
          <w:b w:val="0"/>
          <w:bCs/>
          <w:sz w:val="28"/>
          <w:szCs w:val="28"/>
          <w:highlight w:val="none"/>
        </w:rPr>
      </w:pPr>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5"/>
        <w:keepNext w:val="0"/>
        <w:keepLines w:val="0"/>
        <w:kinsoku w:val="0"/>
        <w:overflowPunct w:val="0"/>
        <w:snapToGrid w:val="0"/>
        <w:spacing w:before="0" w:after="0" w:line="240" w:lineRule="auto"/>
        <w:rPr>
          <w:rFonts w:eastAsia="宋体" w:cs="宋体"/>
          <w:sz w:val="28"/>
          <w:szCs w:val="28"/>
          <w:highlight w:val="none"/>
        </w:rPr>
      </w:pPr>
      <w:r>
        <w:rPr>
          <w:rFonts w:hint="eastAsia" w:eastAsia="宋体" w:cs="宋体"/>
          <w:b w:val="0"/>
          <w:bCs/>
          <w:sz w:val="28"/>
          <w:szCs w:val="28"/>
          <w:highlight w:val="none"/>
        </w:rPr>
        <w:t>附件4 法人授权委托书</w:t>
      </w:r>
    </w:p>
    <w:p>
      <w:pPr>
        <w:kinsoku w:val="0"/>
        <w:overflowPunct w:val="0"/>
        <w:snapToGrid w:val="0"/>
        <w:spacing w:line="520" w:lineRule="exact"/>
        <w:ind w:firstLine="630"/>
        <w:jc w:val="left"/>
        <w:rPr>
          <w:rFonts w:ascii="宋体" w:hAnsi="宋体" w:cs="宋体"/>
          <w:sz w:val="24"/>
          <w:szCs w:val="32"/>
          <w:highlight w:val="none"/>
        </w:rPr>
      </w:pPr>
      <w:r>
        <w:rPr>
          <w:rFonts w:hint="eastAsia" w:ascii="宋体" w:hAnsi="宋体" w:cs="宋体"/>
          <w:sz w:val="24"/>
          <w:szCs w:val="32"/>
          <w:highlight w:val="none"/>
        </w:rPr>
        <w:t>授权声明：</w:t>
      </w:r>
      <w:r>
        <w:rPr>
          <w:rFonts w:hint="eastAsia" w:ascii="宋体" w:hAnsi="宋体" w:cs="宋体"/>
          <w:sz w:val="24"/>
          <w:szCs w:val="32"/>
          <w:highlight w:val="none"/>
          <w:u w:val="single"/>
        </w:rPr>
        <w:t xml:space="preserve"> </w:t>
      </w:r>
      <w:r>
        <w:rPr>
          <w:rFonts w:hint="eastAsia"/>
          <w:sz w:val="24"/>
          <w:szCs w:val="24"/>
          <w:highlight w:val="none"/>
          <w:u w:val="single"/>
        </w:rPr>
        <w:t xml:space="preserve">（报价单位名称） </w:t>
      </w:r>
      <w:r>
        <w:rPr>
          <w:rFonts w:hint="eastAsia"/>
          <w:sz w:val="24"/>
          <w:szCs w:val="24"/>
          <w:highlight w:val="none"/>
        </w:rPr>
        <w:t>授权</w:t>
      </w:r>
      <w:r>
        <w:rPr>
          <w:rFonts w:hint="eastAsia"/>
          <w:sz w:val="24"/>
          <w:szCs w:val="24"/>
          <w:highlight w:val="none"/>
          <w:u w:val="single"/>
        </w:rPr>
        <w:t xml:space="preserve"> （授权代理人） </w:t>
      </w:r>
      <w:r>
        <w:rPr>
          <w:rFonts w:hint="eastAsia"/>
          <w:sz w:val="24"/>
          <w:szCs w:val="24"/>
          <w:highlight w:val="none"/>
        </w:rPr>
        <w:t>为我公司的代理人，以本公司的名义负责</w:t>
      </w:r>
      <w:r>
        <w:rPr>
          <w:rFonts w:hint="eastAsia"/>
          <w:bCs/>
          <w:sz w:val="24"/>
          <w:szCs w:val="32"/>
          <w:highlight w:val="none"/>
        </w:rPr>
        <w:t>参与</w:t>
      </w:r>
      <w:r>
        <w:rPr>
          <w:rFonts w:hint="eastAsia"/>
          <w:bCs/>
          <w:sz w:val="24"/>
          <w:szCs w:val="32"/>
          <w:highlight w:val="none"/>
          <w:u w:val="single"/>
        </w:rPr>
        <w:t xml:space="preserve"> </w:t>
      </w:r>
      <w:r>
        <w:rPr>
          <w:rFonts w:ascii="宋体" w:hAnsi="宋体" w:cs="宋体"/>
          <w:spacing w:val="-4"/>
          <w:sz w:val="24"/>
          <w:szCs w:val="24"/>
          <w:highlight w:val="none"/>
          <w:u w:val="single"/>
        </w:rPr>
        <w:t>2022</w:t>
      </w:r>
      <w:r>
        <w:rPr>
          <w:rFonts w:hint="eastAsia" w:ascii="宋体" w:hAnsi="宋体" w:cs="宋体"/>
          <w:spacing w:val="-4"/>
          <w:sz w:val="24"/>
          <w:szCs w:val="24"/>
          <w:highlight w:val="none"/>
          <w:u w:val="single"/>
        </w:rPr>
        <w:t>年度厂区水量平衡测试</w:t>
      </w:r>
      <w:r>
        <w:rPr>
          <w:rFonts w:hint="eastAsia" w:ascii="宋体" w:hAnsi="宋体" w:cs="宋体"/>
          <w:kern w:val="2"/>
          <w:sz w:val="24"/>
          <w:szCs w:val="24"/>
          <w:highlight w:val="none"/>
          <w:u w:val="single"/>
        </w:rPr>
        <w:t xml:space="preserve"> </w:t>
      </w:r>
      <w:r>
        <w:rPr>
          <w:rFonts w:hint="eastAsia"/>
          <w:bCs/>
          <w:sz w:val="24"/>
          <w:szCs w:val="32"/>
          <w:highlight w:val="none"/>
        </w:rPr>
        <w:t>项目的报价，该代理人在报价及后续的合同执行过程中，所签署的一切文件及所处理的与我公司有关的一切事务，我公司均予以承认。</w:t>
      </w:r>
      <w:r>
        <w:rPr>
          <w:rFonts w:hint="eastAsia" w:ascii="宋体" w:hAnsi="宋体"/>
          <w:bCs/>
          <w:sz w:val="24"/>
          <w:highlight w:val="none"/>
        </w:rPr>
        <w:t>本授权书于</w:t>
      </w:r>
      <w:r>
        <w:rPr>
          <w:rFonts w:ascii="宋体" w:hAnsi="宋体"/>
          <w:bCs/>
          <w:sz w:val="24"/>
          <w:highlight w:val="none"/>
          <w:u w:val="single"/>
        </w:rPr>
        <w:t xml:space="preserve">      </w:t>
      </w:r>
      <w:r>
        <w:rPr>
          <w:rFonts w:hint="eastAsia" w:ascii="宋体" w:hAnsi="宋体"/>
          <w:bCs/>
          <w:sz w:val="24"/>
          <w:highlight w:val="none"/>
        </w:rPr>
        <w:t>年</w:t>
      </w:r>
      <w:r>
        <w:rPr>
          <w:rFonts w:ascii="宋体" w:hAnsi="宋体"/>
          <w:bCs/>
          <w:sz w:val="24"/>
          <w:highlight w:val="none"/>
          <w:u w:val="single"/>
        </w:rPr>
        <w:t xml:space="preserve">     </w:t>
      </w:r>
      <w:r>
        <w:rPr>
          <w:rFonts w:hint="eastAsia"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r>
        <w:rPr>
          <w:rFonts w:hint="eastAsia" w:ascii="宋体" w:hAnsi="宋体" w:cs="宋体"/>
          <w:sz w:val="24"/>
          <w:szCs w:val="32"/>
          <w:highlight w:val="none"/>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p>
    <w:p>
      <w:pPr>
        <w:pStyle w:val="65"/>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附：授权代理人身份证正反面复印件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2500" w:type="pct"/>
          </w:tcPr>
          <w:p>
            <w:pPr>
              <w:spacing w:line="440" w:lineRule="exact"/>
              <w:rPr>
                <w:rFonts w:ascii="宋体" w:hAnsi="宋体"/>
                <w:sz w:val="24"/>
                <w:szCs w:val="24"/>
                <w:highlight w:val="none"/>
              </w:rPr>
            </w:pPr>
          </w:p>
        </w:tc>
      </w:tr>
    </w:tbl>
    <w:p>
      <w:pPr>
        <w:spacing w:line="440" w:lineRule="exact"/>
        <w:ind w:firstLine="420"/>
        <w:rPr>
          <w:rFonts w:ascii="宋体" w:hAnsi="宋体"/>
          <w:szCs w:val="21"/>
          <w:highlight w:val="none"/>
        </w:rPr>
      </w:pPr>
    </w:p>
    <w:p>
      <w:pPr>
        <w:kinsoku w:val="0"/>
        <w:overflowPunct w:val="0"/>
        <w:snapToGrid w:val="0"/>
        <w:spacing w:line="520" w:lineRule="exact"/>
        <w:ind w:firstLine="3600" w:firstLineChars="1500"/>
        <w:jc w:val="left"/>
        <w:rPr>
          <w:rFonts w:ascii="宋体" w:hAnsi="宋体"/>
          <w:bCs/>
          <w:sz w:val="24"/>
          <w:highlight w:val="none"/>
        </w:rPr>
      </w:pPr>
      <w:r>
        <w:rPr>
          <w:rFonts w:hint="eastAsia" w:ascii="宋体" w:hAnsi="宋体"/>
          <w:bCs/>
          <w:sz w:val="24"/>
          <w:highlight w:val="none"/>
        </w:rPr>
        <w:t>报价单位（公章）：</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ascii="宋体" w:hAnsi="宋体"/>
          <w:bCs/>
          <w:sz w:val="24"/>
          <w:highlight w:val="none"/>
          <w:u w:val="single"/>
        </w:rPr>
        <w:t xml:space="preserve">    </w:t>
      </w:r>
    </w:p>
    <w:p>
      <w:pPr>
        <w:kinsoku w:val="0"/>
        <w:overflowPunct w:val="0"/>
        <w:snapToGrid w:val="0"/>
        <w:spacing w:line="520" w:lineRule="exact"/>
        <w:ind w:firstLine="3600" w:firstLineChars="1500"/>
        <w:jc w:val="left"/>
        <w:rPr>
          <w:rFonts w:ascii="宋体" w:hAnsi="宋体"/>
          <w:bCs/>
          <w:sz w:val="24"/>
          <w:highlight w:val="none"/>
          <w:u w:val="single"/>
        </w:rPr>
      </w:pPr>
      <w:r>
        <w:rPr>
          <w:rFonts w:hint="eastAsia" w:ascii="宋体" w:hAnsi="宋体"/>
          <w:bCs/>
          <w:sz w:val="24"/>
          <w:highlight w:val="none"/>
        </w:rPr>
        <w:t>授权代理人签字：</w:t>
      </w:r>
      <w:r>
        <w:rPr>
          <w:rFonts w:ascii="宋体" w:hAnsi="宋体"/>
          <w:bCs/>
          <w:sz w:val="24"/>
          <w:highlight w:val="none"/>
          <w:u w:val="single"/>
        </w:rPr>
        <w:t xml:space="preserve">                 </w:t>
      </w:r>
      <w:r>
        <w:rPr>
          <w:rFonts w:hint="eastAsia" w:ascii="宋体" w:hAnsi="宋体"/>
          <w:bCs/>
          <w:sz w:val="24"/>
          <w:highlight w:val="none"/>
          <w:u w:val="single"/>
        </w:rPr>
        <w:t xml:space="preserve">            </w:t>
      </w: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pStyle w:val="65"/>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备注：1、报价人为企业法定代表人，则本附件不需要提供。</w:t>
      </w:r>
    </w:p>
    <w:p>
      <w:pPr>
        <w:pStyle w:val="65"/>
        <w:keepNext w:val="0"/>
        <w:keepLines w:val="0"/>
        <w:numPr>
          <w:ilvl w:val="0"/>
          <w:numId w:val="50"/>
        </w:numPr>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授权代理人身份证正反面复印件可单独一页，但需加盖企业公章。</w:t>
      </w:r>
    </w:p>
    <w:p>
      <w:pPr>
        <w:kinsoku w:val="0"/>
        <w:overflowPunct w:val="0"/>
        <w:adjustRightInd/>
        <w:spacing w:line="400" w:lineRule="atLeast"/>
        <w:textAlignment w:val="auto"/>
        <w:rPr>
          <w:rFonts w:ascii="宋体" w:hAnsi="宋体" w:cs="宋体"/>
          <w:spacing w:val="-4"/>
          <w:sz w:val="24"/>
          <w:szCs w:val="24"/>
          <w:highlight w:val="none"/>
        </w:rPr>
      </w:pP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5"/>
        <w:keepNext w:val="0"/>
        <w:keepLines w:val="0"/>
        <w:spacing w:before="0" w:after="0" w:line="440" w:lineRule="exact"/>
        <w:rPr>
          <w:rFonts w:eastAsia="宋体" w:cs="宋体"/>
          <w:b w:val="0"/>
          <w:bCs/>
          <w:sz w:val="28"/>
          <w:szCs w:val="28"/>
          <w:highlight w:val="none"/>
        </w:rPr>
      </w:pPr>
      <w:r>
        <w:rPr>
          <w:rFonts w:hint="eastAsia" w:eastAsia="宋体" w:cs="宋体"/>
          <w:b w:val="0"/>
          <w:bCs/>
          <w:sz w:val="28"/>
          <w:szCs w:val="28"/>
          <w:highlight w:val="none"/>
        </w:rPr>
        <w:t>附件5 关于资格的声明函</w:t>
      </w:r>
    </w:p>
    <w:p>
      <w:pPr>
        <w:kinsoku w:val="0"/>
        <w:overflowPunct w:val="0"/>
        <w:adjustRightInd/>
        <w:spacing w:line="40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kinsoku w:val="0"/>
        <w:overflowPunct w:val="0"/>
        <w:adjustRightInd/>
        <w:spacing w:line="400" w:lineRule="atLeast"/>
        <w:ind w:firstLine="720" w:firstLineChars="300"/>
        <w:rPr>
          <w:sz w:val="24"/>
          <w:szCs w:val="24"/>
          <w:highlight w:val="none"/>
        </w:rPr>
      </w:pPr>
      <w:r>
        <w:rPr>
          <w:rFonts w:hint="eastAsia"/>
          <w:sz w:val="24"/>
          <w:szCs w:val="24"/>
          <w:highlight w:val="none"/>
        </w:rPr>
        <w:t>关于贵司</w:t>
      </w:r>
      <w:r>
        <w:rPr>
          <w:rFonts w:hint="eastAsia" w:ascii="宋体" w:hAnsi="宋体" w:cs="宋体"/>
          <w:kern w:val="2"/>
          <w:sz w:val="24"/>
          <w:szCs w:val="24"/>
          <w:highlight w:val="none"/>
          <w:u w:val="single"/>
        </w:rPr>
        <w:t xml:space="preserve"> </w:t>
      </w:r>
      <w:r>
        <w:rPr>
          <w:rFonts w:ascii="宋体" w:hAnsi="宋体" w:cs="宋体"/>
          <w:spacing w:val="-4"/>
          <w:sz w:val="24"/>
          <w:szCs w:val="24"/>
          <w:highlight w:val="none"/>
          <w:u w:val="single"/>
        </w:rPr>
        <w:t>2022</w:t>
      </w:r>
      <w:r>
        <w:rPr>
          <w:rFonts w:hint="eastAsia" w:ascii="宋体" w:hAnsi="宋体" w:cs="宋体"/>
          <w:spacing w:val="-4"/>
          <w:sz w:val="24"/>
          <w:szCs w:val="24"/>
          <w:highlight w:val="none"/>
          <w:u w:val="single"/>
        </w:rPr>
        <w:t>年厂区水量平衡测试</w:t>
      </w:r>
      <w:r>
        <w:rPr>
          <w:rFonts w:hint="eastAsia" w:ascii="宋体" w:hAnsi="宋体" w:cs="宋体"/>
          <w:kern w:val="2"/>
          <w:sz w:val="24"/>
          <w:szCs w:val="24"/>
          <w:highlight w:val="none"/>
          <w:u w:val="single"/>
        </w:rPr>
        <w:t xml:space="preserve"> </w:t>
      </w:r>
      <w:r>
        <w:rPr>
          <w:rFonts w:hint="eastAsia"/>
          <w:sz w:val="24"/>
          <w:szCs w:val="24"/>
          <w:highlight w:val="none"/>
        </w:rPr>
        <w:t>项目的报价邀请，本签字人愿意参加报价，提供谈判文件中规定的</w:t>
      </w:r>
      <w:r>
        <w:rPr>
          <w:rFonts w:hint="eastAsia" w:ascii="宋体" w:hAnsi="宋体" w:cs="宋体"/>
          <w:kern w:val="2"/>
          <w:sz w:val="24"/>
          <w:szCs w:val="24"/>
          <w:highlight w:val="none"/>
          <w:u w:val="single"/>
        </w:rPr>
        <w:t xml:space="preserve"> </w:t>
      </w:r>
      <w:r>
        <w:rPr>
          <w:rFonts w:ascii="宋体" w:hAnsi="宋体" w:cs="宋体"/>
          <w:spacing w:val="-4"/>
          <w:sz w:val="24"/>
          <w:szCs w:val="24"/>
          <w:highlight w:val="none"/>
          <w:u w:val="single"/>
        </w:rPr>
        <w:t>2022</w:t>
      </w:r>
      <w:r>
        <w:rPr>
          <w:rFonts w:hint="eastAsia" w:ascii="宋体" w:hAnsi="宋体" w:cs="宋体"/>
          <w:spacing w:val="-4"/>
          <w:sz w:val="24"/>
          <w:szCs w:val="24"/>
          <w:highlight w:val="none"/>
          <w:u w:val="single"/>
        </w:rPr>
        <w:t>年厂区水量平衡测试项目</w:t>
      </w:r>
      <w:r>
        <w:rPr>
          <w:rFonts w:hint="eastAsia" w:ascii="宋体" w:hAnsi="宋体" w:cs="宋体"/>
          <w:kern w:val="2"/>
          <w:sz w:val="24"/>
          <w:szCs w:val="24"/>
          <w:highlight w:val="none"/>
          <w:u w:val="single"/>
        </w:rPr>
        <w:t xml:space="preserve"> </w:t>
      </w:r>
      <w:r>
        <w:rPr>
          <w:rFonts w:hint="eastAsia" w:ascii="宋体" w:hAnsi="宋体" w:cs="宋体"/>
          <w:kern w:val="2"/>
          <w:sz w:val="24"/>
          <w:szCs w:val="24"/>
          <w:highlight w:val="none"/>
        </w:rPr>
        <w:t>的相关</w:t>
      </w:r>
      <w:r>
        <w:rPr>
          <w:rFonts w:hint="eastAsia"/>
          <w:sz w:val="24"/>
          <w:szCs w:val="24"/>
          <w:highlight w:val="none"/>
        </w:rPr>
        <w:t>服务，并证明提交的下列文件和说明是准确的和真实的。</w:t>
      </w:r>
    </w:p>
    <w:p>
      <w:pPr>
        <w:pStyle w:val="27"/>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宋体"/>
          <w:szCs w:val="24"/>
          <w:highlight w:val="none"/>
          <w:shd w:val="clear" w:color="auto" w:fill="FFFFFF"/>
        </w:rPr>
        <w:t>响应采购、参加报价竞争的系中华人民共和国境内的企业法人，且具有独立订立合同的权力。</w:t>
      </w:r>
    </w:p>
    <w:p>
      <w:pPr>
        <w:pStyle w:val="27"/>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仿宋_GB2312"/>
          <w:szCs w:val="24"/>
          <w:highlight w:val="none"/>
        </w:rPr>
        <w:t>自2018年1月1日起至报价截止日期，报价方必须具备国内不少于3份水平衡测试的业绩，并提供合同复印件。</w:t>
      </w:r>
    </w:p>
    <w:p>
      <w:pPr>
        <w:pStyle w:val="27"/>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财务要求：</w:t>
      </w:r>
      <w:r>
        <w:rPr>
          <w:rFonts w:hint="eastAsia" w:ascii="宋体" w:hAnsi="宋体" w:cs="宋体"/>
          <w:szCs w:val="24"/>
          <w:highlight w:val="none"/>
          <w:shd w:val="clear" w:color="auto" w:fill="FFFFFF"/>
        </w:rPr>
        <w:t>具有良好的银行资信和商业信誉，没有处于被责令停业或破产状态，且资产未被重组、接管和冻结。</w:t>
      </w:r>
    </w:p>
    <w:p>
      <w:pPr>
        <w:pStyle w:val="27"/>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信誉要求：报价方没有被国家、福建省省级有关部门及厦门市有关部门暂停招报价或市场准入资格且在公示处罚期内。</w:t>
      </w:r>
    </w:p>
    <w:p>
      <w:pPr>
        <w:kinsoku w:val="0"/>
        <w:overflowPunct w:val="0"/>
        <w:adjustRightInd/>
        <w:spacing w:line="400" w:lineRule="atLeast"/>
        <w:rPr>
          <w:rFonts w:hAnsi="宋体"/>
          <w:b/>
          <w:sz w:val="24"/>
          <w:szCs w:val="24"/>
          <w:highlight w:val="none"/>
        </w:rPr>
      </w:pPr>
    </w:p>
    <w:p>
      <w:pPr>
        <w:kinsoku w:val="0"/>
        <w:overflowPunct w:val="0"/>
        <w:adjustRightInd/>
        <w:spacing w:line="400" w:lineRule="atLeast"/>
        <w:rPr>
          <w:sz w:val="24"/>
          <w:szCs w:val="24"/>
          <w:highlight w:val="none"/>
        </w:rPr>
      </w:pPr>
      <w:r>
        <w:rPr>
          <w:rFonts w:hint="eastAsia" w:hAnsi="宋体"/>
          <w:b/>
          <w:sz w:val="24"/>
          <w:szCs w:val="24"/>
          <w:highlight w:val="none"/>
        </w:rPr>
        <w:t>注：第</w:t>
      </w:r>
      <w:r>
        <w:rPr>
          <w:rFonts w:hint="eastAsia" w:hAnsi="宋体"/>
          <w:b/>
          <w:sz w:val="24"/>
          <w:szCs w:val="24"/>
          <w:highlight w:val="none"/>
          <w:lang w:val="en-US" w:eastAsia="zh-CN"/>
        </w:rPr>
        <w:t>3、</w:t>
      </w:r>
      <w:r>
        <w:rPr>
          <w:rFonts w:hint="eastAsia" w:hAnsi="宋体"/>
          <w:sz w:val="24"/>
          <w:szCs w:val="24"/>
          <w:highlight w:val="none"/>
        </w:rPr>
        <w:t>4</w:t>
      </w:r>
      <w:r>
        <w:rPr>
          <w:rFonts w:hint="eastAsia" w:hAnsi="宋体"/>
          <w:b/>
          <w:sz w:val="24"/>
          <w:szCs w:val="24"/>
          <w:highlight w:val="none"/>
        </w:rPr>
        <w:t>项无需提供证明文件，但若采购方发现报价方违反该条款，采购方有权拒绝其报价及后续的相应事宜。对用户方造成的相应损失，则由该报价单位负责。</w:t>
      </w:r>
    </w:p>
    <w:p>
      <w:pPr>
        <w:kinsoku w:val="0"/>
        <w:overflowPunct w:val="0"/>
        <w:adjustRightInd/>
        <w:spacing w:line="400" w:lineRule="atLeast"/>
        <w:ind w:firstLine="4800" w:firstLineChars="2000"/>
        <w:rPr>
          <w:sz w:val="24"/>
          <w:szCs w:val="24"/>
          <w:highlight w:val="none"/>
        </w:rPr>
      </w:pPr>
    </w:p>
    <w:p>
      <w:pPr>
        <w:kinsoku w:val="0"/>
        <w:overflowPunct w:val="0"/>
        <w:adjustRightInd/>
        <w:spacing w:line="400" w:lineRule="atLeast"/>
        <w:ind w:firstLine="4800" w:firstLineChars="2000"/>
        <w:rPr>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snapToGrid w:val="0"/>
        <w:spacing w:line="420" w:lineRule="exact"/>
        <w:jc w:val="left"/>
        <w:rPr>
          <w:rFonts w:ascii="宋体" w:hAnsi="宋体"/>
          <w:highlight w:val="none"/>
        </w:rPr>
      </w:pPr>
      <w:r>
        <w:rPr>
          <w:rFonts w:hint="eastAsia" w:ascii="宋体" w:hAnsi="宋体"/>
          <w:highlight w:val="none"/>
        </w:rPr>
        <w:t xml:space="preserve"> </w:t>
      </w:r>
    </w:p>
    <w:p>
      <w:pPr>
        <w:pStyle w:val="65"/>
        <w:keepNext w:val="0"/>
        <w:keepLines w:val="0"/>
        <w:kinsoku w:val="0"/>
        <w:overflowPunct w:val="0"/>
        <w:snapToGrid w:val="0"/>
        <w:spacing w:before="0" w:after="0" w:line="440" w:lineRule="atLeast"/>
        <w:jc w:val="both"/>
        <w:rPr>
          <w:rFonts w:eastAsia="宋体" w:cs="宋体"/>
          <w:b w:val="0"/>
          <w:bCs/>
          <w:sz w:val="28"/>
          <w:szCs w:val="28"/>
          <w:highlight w:val="none"/>
        </w:rPr>
      </w:pPr>
      <w:bookmarkStart w:id="143" w:name="_Toc3242_WPSOffice_Level1"/>
      <w:bookmarkStart w:id="144" w:name="_Toc29011_WPSOffice_Level2"/>
      <w:bookmarkStart w:id="145" w:name="_Toc6643_WPSOffice_Level2"/>
      <w:bookmarkStart w:id="146" w:name="_Toc7642_WPSOffice_Level2"/>
      <w:bookmarkStart w:id="147" w:name="_Toc13674_WPSOffice_Level2"/>
      <w:bookmarkStart w:id="148" w:name="_Toc29781_WPSOffice_Level1"/>
      <w:bookmarkStart w:id="149" w:name="_Toc21441_WPSOffice_Level1"/>
      <w:bookmarkStart w:id="150" w:name="_Toc26678_WPSOffice_Level1"/>
      <w:bookmarkStart w:id="151" w:name="_Toc13430_WPSOffice_Level1"/>
      <w:bookmarkStart w:id="152" w:name="_Toc714_WPSOffice_Level1"/>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5"/>
        <w:keepNext w:val="0"/>
        <w:keepLines w:val="0"/>
        <w:kinsoku w:val="0"/>
        <w:overflowPunct w:val="0"/>
        <w:snapToGrid w:val="0"/>
        <w:spacing w:before="0" w:after="0" w:line="440" w:lineRule="atLeast"/>
        <w:rPr>
          <w:rFonts w:eastAsia="宋体" w:cs="宋体"/>
          <w:b w:val="0"/>
          <w:bCs/>
          <w:sz w:val="28"/>
          <w:szCs w:val="28"/>
          <w:highlight w:val="none"/>
        </w:rPr>
      </w:pPr>
      <w:r>
        <w:rPr>
          <w:rFonts w:hint="eastAsia" w:eastAsia="宋体" w:cs="宋体"/>
          <w:b w:val="0"/>
          <w:bCs/>
          <w:sz w:val="28"/>
          <w:szCs w:val="28"/>
          <w:highlight w:val="none"/>
        </w:rPr>
        <w:t>附件6 报价方廉洁承诺书</w:t>
      </w:r>
      <w:bookmarkEnd w:id="143"/>
      <w:bookmarkEnd w:id="144"/>
      <w:bookmarkEnd w:id="145"/>
      <w:bookmarkEnd w:id="146"/>
      <w:bookmarkEnd w:id="147"/>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highlight w:val="none"/>
        </w:rPr>
        <w:t xml:space="preserve"> </w:t>
      </w:r>
    </w:p>
    <w:p>
      <w:pPr>
        <w:numPr>
          <w:ilvl w:val="0"/>
          <w:numId w:val="52"/>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自觉遵守国家法律、法规，按照《中国共产党纪律处分条例》、《中华人民共和国反不正当竞争法》、《关于禁止商业贿赂行为的暂行规定》以及有关要求进行各项业务活动。</w:t>
      </w:r>
    </w:p>
    <w:p>
      <w:pPr>
        <w:numPr>
          <w:ilvl w:val="0"/>
          <w:numId w:val="52"/>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52"/>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不与其他经营者串通报价和报价，不排挤其他经营者的公平竞争，损害其他经营者的合法权益；不在项目的预决算编制工作中弄虚作假、高估冒算。</w:t>
      </w:r>
    </w:p>
    <w:p>
      <w:pPr>
        <w:numPr>
          <w:ilvl w:val="0"/>
          <w:numId w:val="52"/>
        </w:numPr>
        <w:kinsoku w:val="0"/>
        <w:overflowPunct w:val="0"/>
        <w:snapToGrid w:val="0"/>
        <w:spacing w:line="440" w:lineRule="atLeast"/>
        <w:jc w:val="left"/>
        <w:rPr>
          <w:rFonts w:ascii="宋体" w:hAnsi="宋体" w:cs="宋体"/>
          <w:sz w:val="24"/>
          <w:szCs w:val="24"/>
          <w:highlight w:val="none"/>
        </w:rPr>
      </w:pPr>
      <w:r>
        <w:rPr>
          <w:rFonts w:hint="eastAsia" w:ascii="宋体" w:hAnsi="宋体" w:cs="宋体"/>
          <w:sz w:val="24"/>
          <w:szCs w:val="24"/>
          <w:highlight w:val="none"/>
        </w:rPr>
        <w:t>发现采购方工作人员违反廉洁从业行为的，报价方可向厦门海发集团有限公司纪检监察部门反映或举报。若采购方工作人员违反本协议将按有关法律和规定严肃处理。</w:t>
      </w:r>
    </w:p>
    <w:p>
      <w:pPr>
        <w:numPr>
          <w:ilvl w:val="0"/>
          <w:numId w:val="52"/>
        </w:numPr>
        <w:kinsoku w:val="0"/>
        <w:overflowPunct w:val="0"/>
        <w:snapToGrid w:val="0"/>
        <w:spacing w:line="440" w:lineRule="atLeast"/>
        <w:jc w:val="left"/>
        <w:rPr>
          <w:rFonts w:ascii="宋体" w:hAnsi="宋体"/>
          <w:sz w:val="24"/>
          <w:szCs w:val="36"/>
          <w:highlight w:val="none"/>
        </w:rPr>
      </w:pPr>
      <w:r>
        <w:rPr>
          <w:rFonts w:hint="eastAsia" w:ascii="宋体" w:hAnsi="宋体" w:cs="宋体"/>
          <w:sz w:val="24"/>
          <w:szCs w:val="24"/>
          <w:highlight w:val="none"/>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特此承诺。</w:t>
      </w:r>
    </w:p>
    <w:p>
      <w:pPr>
        <w:kinsoku w:val="0"/>
        <w:overflowPunct w:val="0"/>
        <w:snapToGrid w:val="0"/>
        <w:spacing w:line="440" w:lineRule="atLeast"/>
        <w:ind w:firstLine="420" w:firstLineChars="200"/>
        <w:jc w:val="left"/>
        <w:rPr>
          <w:rFonts w:ascii="宋体" w:hAnsi="宋体"/>
          <w:szCs w:val="28"/>
          <w:highlight w:val="none"/>
        </w:rPr>
      </w:pP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报价单位（盖章）：</w:t>
      </w:r>
      <w:r>
        <w:rPr>
          <w:rFonts w:hint="eastAsia" w:ascii="宋体" w:hAnsi="宋体"/>
          <w:sz w:val="24"/>
          <w:szCs w:val="24"/>
          <w:highlight w:val="none"/>
          <w:u w:val="single"/>
        </w:rPr>
        <w:t xml:space="preserve">         </w:t>
      </w: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w:t>
      </w:r>
    </w:p>
    <w:p>
      <w:pPr>
        <w:kinsoku w:val="0"/>
        <w:overflowPunct w:val="0"/>
        <w:adjustRightInd/>
        <w:spacing w:line="400" w:lineRule="atLeast"/>
        <w:jc w:val="center"/>
        <w:rPr>
          <w:rFonts w:ascii="宋体" w:hAnsi="宋体"/>
          <w:b/>
          <w:bCs/>
          <w:sz w:val="28"/>
          <w:szCs w:val="28"/>
          <w:highlight w:val="none"/>
        </w:rPr>
      </w:pPr>
    </w:p>
    <w:p>
      <w:pPr>
        <w:autoSpaceDE/>
        <w:autoSpaceDN/>
        <w:snapToGrid w:val="0"/>
        <w:jc w:val="center"/>
        <w:textAlignment w:val="auto"/>
        <w:rPr>
          <w:rFonts w:ascii="宋体" w:hAnsi="宋体"/>
          <w:bCs/>
          <w:sz w:val="28"/>
          <w:szCs w:val="28"/>
          <w:highlight w:val="none"/>
        </w:rPr>
      </w:pPr>
    </w:p>
    <w:p>
      <w:pPr>
        <w:widowControl/>
        <w:autoSpaceDE/>
        <w:autoSpaceDN/>
        <w:adjustRightInd/>
        <w:spacing w:line="240" w:lineRule="auto"/>
        <w:jc w:val="left"/>
        <w:textAlignment w:val="auto"/>
        <w:rPr>
          <w:rFonts w:ascii="宋体" w:hAnsi="宋体"/>
          <w:bCs/>
          <w:sz w:val="28"/>
          <w:szCs w:val="28"/>
          <w:highlight w:val="none"/>
        </w:rPr>
      </w:pPr>
      <w:r>
        <w:rPr>
          <w:rFonts w:ascii="宋体" w:hAnsi="宋体"/>
          <w:bCs/>
          <w:sz w:val="28"/>
          <w:szCs w:val="28"/>
          <w:highlight w:val="none"/>
        </w:rPr>
        <w:br w:type="page"/>
      </w:r>
    </w:p>
    <w:p>
      <w:pPr>
        <w:autoSpaceDE/>
        <w:autoSpaceDN/>
        <w:snapToGrid w:val="0"/>
        <w:jc w:val="both"/>
        <w:textAlignment w:val="auto"/>
        <w:rPr>
          <w:rFonts w:ascii="宋体" w:hAnsi="宋体"/>
          <w:bCs/>
          <w:sz w:val="28"/>
          <w:szCs w:val="28"/>
          <w:highlight w:val="none"/>
        </w:rPr>
      </w:pPr>
      <w:r>
        <w:rPr>
          <w:rFonts w:hint="eastAsia" w:ascii="宋体" w:hAnsi="宋体"/>
          <w:bCs/>
          <w:sz w:val="28"/>
          <w:szCs w:val="28"/>
          <w:highlight w:val="none"/>
        </w:rPr>
        <w:t>附件7 企业能有效识别二维码且加盖报价单位公章的营业执照复印件</w:t>
      </w:r>
    </w:p>
    <w:p>
      <w:pPr>
        <w:autoSpaceDE/>
        <w:autoSpaceDN/>
        <w:snapToGrid w:val="0"/>
        <w:textAlignment w:val="auto"/>
        <w:rPr>
          <w:rFonts w:ascii="宋体" w:hAnsi="宋体"/>
          <w:bCs/>
          <w:sz w:val="28"/>
          <w:szCs w:val="28"/>
          <w:highlight w:val="none"/>
        </w:rPr>
      </w:pPr>
    </w:p>
    <w:p>
      <w:pPr>
        <w:autoSpaceDE/>
        <w:autoSpaceDN/>
        <w:snapToGrid w:val="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附件8 企业加盖报价单位公章的相关资质证明文件</w:t>
      </w:r>
    </w:p>
    <w:p>
      <w:pPr>
        <w:autoSpaceDE/>
        <w:autoSpaceDN/>
        <w:snapToGrid w:val="0"/>
        <w:jc w:val="both"/>
        <w:textAlignment w:val="auto"/>
        <w:rPr>
          <w:rFonts w:hint="eastAsia" w:ascii="宋体" w:hAnsi="宋体" w:eastAsia="宋体" w:cs="Times New Roman"/>
          <w:bCs/>
          <w:sz w:val="28"/>
          <w:szCs w:val="28"/>
          <w:highlight w:val="none"/>
        </w:rPr>
      </w:pPr>
    </w:p>
    <w:p>
      <w:pPr>
        <w:autoSpaceDE/>
        <w:autoSpaceDN/>
        <w:snapToGrid w:val="0"/>
        <w:jc w:val="both"/>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附件9</w:t>
      </w:r>
      <w:r>
        <w:rPr>
          <w:rFonts w:hint="eastAsia" w:ascii="宋体" w:hAnsi="宋体" w:eastAsia="宋体" w:cs="Times New Roman"/>
          <w:bCs/>
          <w:sz w:val="28"/>
          <w:szCs w:val="28"/>
          <w:highlight w:val="none"/>
          <w:lang w:val="en-US" w:eastAsia="zh-CN"/>
        </w:rPr>
        <w:t xml:space="preserve"> </w:t>
      </w:r>
      <w:r>
        <w:rPr>
          <w:rFonts w:hint="eastAsia" w:ascii="宋体" w:hAnsi="宋体" w:eastAsia="宋体" w:cs="Times New Roman"/>
          <w:bCs/>
          <w:sz w:val="28"/>
          <w:szCs w:val="28"/>
          <w:highlight w:val="none"/>
        </w:rPr>
        <w:t>相关业绩证明，提供合同复印件（加盖报价单位公章）</w:t>
      </w:r>
    </w:p>
    <w:p>
      <w:pPr>
        <w:autoSpaceDE/>
        <w:autoSpaceDN/>
        <w:snapToGrid w:val="0"/>
        <w:jc w:val="center"/>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sectPr>
          <w:pgSz w:w="11906" w:h="16838"/>
          <w:pgMar w:top="1418" w:right="1418" w:bottom="1134" w:left="1418" w:header="1247" w:footer="1134" w:gutter="0"/>
          <w:cols w:space="720" w:num="1"/>
          <w:docGrid w:linePitch="326" w:charSpace="0"/>
        </w:sect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附件10  质量保证和</w:t>
      </w:r>
      <w:r>
        <w:rPr>
          <w:rFonts w:ascii="宋体" w:hAnsi="宋体"/>
          <w:bCs/>
          <w:sz w:val="28"/>
          <w:szCs w:val="28"/>
          <w:highlight w:val="none"/>
        </w:rPr>
        <w:t>售后服务</w:t>
      </w:r>
      <w:r>
        <w:rPr>
          <w:rFonts w:hint="eastAsia" w:ascii="宋体" w:hAnsi="宋体"/>
          <w:bCs/>
          <w:sz w:val="28"/>
          <w:szCs w:val="28"/>
          <w:highlight w:val="none"/>
        </w:rPr>
        <w:t>承诺书</w:t>
      </w:r>
    </w:p>
    <w:p>
      <w:pPr>
        <w:pStyle w:val="7"/>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厦门海发环保能源股份有限公司：</w:t>
      </w:r>
    </w:p>
    <w:p>
      <w:pPr>
        <w:pStyle w:val="7"/>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 xml:space="preserve">     根据谈判文件要求，我司对该项目做出以下承诺：</w:t>
      </w:r>
    </w:p>
    <w:p>
      <w:pPr>
        <w:pStyle w:val="7"/>
        <w:numPr>
          <w:ilvl w:val="0"/>
          <w:numId w:val="53"/>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7"/>
        <w:numPr>
          <w:ilvl w:val="0"/>
          <w:numId w:val="53"/>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7"/>
        <w:numPr>
          <w:ilvl w:val="0"/>
          <w:numId w:val="53"/>
        </w:numPr>
        <w:autoSpaceDE/>
        <w:autoSpaceDN/>
        <w:snapToGrid w:val="0"/>
        <w:spacing w:line="480" w:lineRule="exact"/>
        <w:jc w:val="left"/>
        <w:textAlignment w:val="auto"/>
        <w:rPr>
          <w:bCs/>
          <w:sz w:val="24"/>
          <w:szCs w:val="24"/>
          <w:highlight w:val="none"/>
        </w:rPr>
      </w:pPr>
      <w:r>
        <w:rPr>
          <w:rFonts w:hint="eastAsia" w:ascii="宋体" w:hAnsi="宋体"/>
          <w:sz w:val="24"/>
          <w:szCs w:val="24"/>
          <w:highlight w:val="none"/>
        </w:rPr>
        <w:t xml:space="preserve">    </w:t>
      </w:r>
    </w:p>
    <w:p>
      <w:pPr>
        <w:pStyle w:val="7"/>
        <w:numPr>
          <w:ilvl w:val="0"/>
          <w:numId w:val="53"/>
        </w:numPr>
        <w:autoSpaceDE/>
        <w:autoSpaceDN/>
        <w:snapToGrid w:val="0"/>
        <w:spacing w:line="480" w:lineRule="exact"/>
        <w:jc w:val="left"/>
        <w:textAlignment w:val="auto"/>
        <w:rPr>
          <w:bCs/>
          <w:sz w:val="24"/>
          <w:szCs w:val="24"/>
          <w:highlight w:val="none"/>
        </w:rPr>
      </w:pPr>
    </w:p>
    <w:p>
      <w:pPr>
        <w:pStyle w:val="7"/>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售后服务联系人：</w:t>
      </w:r>
    </w:p>
    <w:p>
      <w:pPr>
        <w:pStyle w:val="7"/>
        <w:autoSpaceDE/>
        <w:autoSpaceDN/>
        <w:snapToGrid w:val="0"/>
        <w:spacing w:line="480" w:lineRule="exact"/>
        <w:ind w:firstLine="480" w:firstLineChars="200"/>
        <w:jc w:val="left"/>
        <w:textAlignment w:val="auto"/>
        <w:rPr>
          <w:bCs/>
          <w:sz w:val="24"/>
          <w:szCs w:val="24"/>
          <w:highlight w:val="none"/>
        </w:rPr>
      </w:pPr>
    </w:p>
    <w:p>
      <w:pPr>
        <w:pStyle w:val="7"/>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售后服务联系电话：</w:t>
      </w:r>
    </w:p>
    <w:p>
      <w:pPr>
        <w:pStyle w:val="7"/>
        <w:autoSpaceDE/>
        <w:autoSpaceDN/>
        <w:snapToGrid w:val="0"/>
        <w:spacing w:line="480" w:lineRule="exact"/>
        <w:ind w:firstLine="0"/>
        <w:jc w:val="left"/>
        <w:textAlignment w:val="auto"/>
        <w:rPr>
          <w:bCs/>
          <w:highlight w:val="none"/>
        </w:rPr>
      </w:pPr>
    </w:p>
    <w:p>
      <w:pPr>
        <w:pStyle w:val="7"/>
        <w:autoSpaceDE/>
        <w:autoSpaceDN/>
        <w:snapToGrid w:val="0"/>
        <w:spacing w:line="480" w:lineRule="atLeast"/>
        <w:ind w:firstLineChars="200"/>
        <w:jc w:val="left"/>
        <w:textAlignment w:val="auto"/>
        <w:rPr>
          <w:bCs/>
          <w:highlight w:val="none"/>
        </w:rPr>
      </w:pPr>
    </w:p>
    <w:p>
      <w:pPr>
        <w:autoSpaceDE/>
        <w:autoSpaceDN/>
        <w:snapToGrid w:val="0"/>
        <w:spacing w:line="520" w:lineRule="exact"/>
        <w:ind w:firstLine="3840" w:firstLineChars="16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autoSpaceDE/>
        <w:autoSpaceDN/>
        <w:snapToGrid w:val="0"/>
        <w:spacing w:line="520" w:lineRule="exac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spacing w:line="440" w:lineRule="exac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tabs>
          <w:tab w:val="left" w:pos="914"/>
        </w:tabs>
        <w:jc w:val="left"/>
        <w:rPr>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r>
        <w:rPr>
          <w:rFonts w:hint="eastAsia" w:ascii="宋体" w:hAnsi="宋体"/>
          <w:sz w:val="24"/>
          <w:highlight w:val="none"/>
        </w:rPr>
        <w:t>备注：由报价方填写。</w:t>
      </w: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pPr>
    </w:p>
    <w:p>
      <w:pPr>
        <w:pStyle w:val="19"/>
        <w:rPr>
          <w:rFonts w:hAnsi="宋体"/>
          <w:highlight w:val="none"/>
        </w:rPr>
        <w:sectPr>
          <w:footerReference r:id="rId11" w:type="default"/>
          <w:pgSz w:w="11906" w:h="16838"/>
          <w:pgMar w:top="1417" w:right="1417" w:bottom="1417" w:left="1417" w:header="1247" w:footer="1134" w:gutter="0"/>
          <w:cols w:space="720" w:num="1"/>
          <w:docGrid w:linePitch="326" w:charSpace="0"/>
        </w:sectPr>
      </w:pPr>
    </w:p>
    <w:p>
      <w:pPr>
        <w:autoSpaceDE/>
        <w:autoSpaceDN/>
        <w:snapToGrid w:val="0"/>
        <w:jc w:val="center"/>
        <w:textAlignment w:val="auto"/>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附件11  报价方认为需要提供的其他资料。</w:t>
      </w:r>
    </w:p>
    <w:bookmarkEnd w:id="148"/>
    <w:bookmarkEnd w:id="149"/>
    <w:bookmarkEnd w:id="150"/>
    <w:bookmarkEnd w:id="151"/>
    <w:bookmarkEnd w:id="152"/>
    <w:p>
      <w:pPr>
        <w:rPr>
          <w:highlight w:val="none"/>
        </w:rPr>
      </w:pPr>
    </w:p>
    <w:sectPr>
      <w:footerReference r:id="rId12" w:type="default"/>
      <w:pgSz w:w="11906" w:h="16838"/>
      <w:pgMar w:top="1418" w:right="1418" w:bottom="1134" w:left="1418" w:header="1247"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行楷体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1312;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1312;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BSwrQECwIAAAIEAAAOAAAAAAAAAAEAIAAAACEB&#10;AABkcnMvZTJvRG9jLnhtbFBLBQYAAAAABgAGAFkBAACeBQ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2336;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AqdwdGCwIAAAIEAAAOAAAAAAAAAAEAIAAAACEB&#10;AABkcnMvZTJvRG9jLnhtbFBLBQYAAAAABgAGAFkBAACeBQ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0288;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vbaS0gAAAAQBAAAPAAAAAAAAAAEAIAAAACIAAABkcnMv&#10;ZG93bnJldi54bWxQSwECFAAUAAAACACHTuJAoqjTgQkCAAACBAAADgAAAAAAAAABACAAAAAhAQAA&#10;ZHJzL2Uyb0RvYy54bWxQSwUGAAAAAAYABgBZAQAAnAU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EE572A2"/>
    <w:multiLevelType w:val="singleLevel"/>
    <w:tmpl w:val="8EE572A2"/>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3">
    <w:nsid w:val="919252A0"/>
    <w:multiLevelType w:val="singleLevel"/>
    <w:tmpl w:val="919252A0"/>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4">
    <w:nsid w:val="958C5C4B"/>
    <w:multiLevelType w:val="singleLevel"/>
    <w:tmpl w:val="958C5C4B"/>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5">
    <w:nsid w:val="9B86F5D9"/>
    <w:multiLevelType w:val="singleLevel"/>
    <w:tmpl w:val="9B86F5D9"/>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6">
    <w:nsid w:val="A2483764"/>
    <w:multiLevelType w:val="singleLevel"/>
    <w:tmpl w:val="A2483764"/>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7">
    <w:nsid w:val="A43257A4"/>
    <w:multiLevelType w:val="singleLevel"/>
    <w:tmpl w:val="A43257A4"/>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8">
    <w:nsid w:val="A6DC437B"/>
    <w:multiLevelType w:val="singleLevel"/>
    <w:tmpl w:val="A6DC437B"/>
    <w:lvl w:ilvl="0" w:tentative="0">
      <w:start w:val="1"/>
      <w:numFmt w:val="decimal"/>
      <w:suff w:val="nothing"/>
      <w:lvlText w:val="%1 "/>
      <w:lvlJc w:val="left"/>
      <w:pPr>
        <w:tabs>
          <w:tab w:val="left" w:pos="0"/>
        </w:tabs>
        <w:ind w:left="0" w:firstLine="0"/>
      </w:pPr>
      <w:rPr>
        <w:rFonts w:hint="default"/>
      </w:rPr>
    </w:lvl>
  </w:abstractNum>
  <w:abstractNum w:abstractNumId="9">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0">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1">
    <w:nsid w:val="BC5B1B2F"/>
    <w:multiLevelType w:val="singleLevel"/>
    <w:tmpl w:val="BC5B1B2F"/>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2">
    <w:nsid w:val="BEE16A3A"/>
    <w:multiLevelType w:val="singleLevel"/>
    <w:tmpl w:val="BEE16A3A"/>
    <w:lvl w:ilvl="0" w:tentative="0">
      <w:start w:val="6"/>
      <w:numFmt w:val="decimal"/>
      <w:suff w:val="nothing"/>
      <w:lvlText w:val="%1 "/>
      <w:lvlJc w:val="left"/>
      <w:pPr>
        <w:tabs>
          <w:tab w:val="left" w:pos="0"/>
        </w:tabs>
        <w:ind w:left="0" w:firstLine="0"/>
      </w:pPr>
      <w:rPr>
        <w:rFonts w:hint="default"/>
      </w:rPr>
    </w:lvl>
  </w:abstractNum>
  <w:abstractNum w:abstractNumId="13">
    <w:nsid w:val="BEFDCDBC"/>
    <w:multiLevelType w:val="singleLevel"/>
    <w:tmpl w:val="BEFDCDBC"/>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4">
    <w:nsid w:val="C1B719B0"/>
    <w:multiLevelType w:val="singleLevel"/>
    <w:tmpl w:val="C1B719B0"/>
    <w:lvl w:ilvl="0" w:tentative="0">
      <w:start w:val="1"/>
      <w:numFmt w:val="decimal"/>
      <w:suff w:val="nothing"/>
      <w:lvlText w:val="3.1.%1 "/>
      <w:lvlJc w:val="left"/>
      <w:pPr>
        <w:tabs>
          <w:tab w:val="left" w:pos="0"/>
        </w:tabs>
        <w:ind w:left="0" w:firstLine="0"/>
      </w:pPr>
      <w:rPr>
        <w:rFonts w:hint="default" w:ascii="宋体" w:hAnsi="宋体" w:eastAsia="宋体" w:cs="宋体"/>
      </w:rPr>
    </w:lvl>
  </w:abstractNum>
  <w:abstractNum w:abstractNumId="15">
    <w:nsid w:val="C1DF39FA"/>
    <w:multiLevelType w:val="singleLevel"/>
    <w:tmpl w:val="C1DF39FA"/>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6">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7">
    <w:nsid w:val="D79DD674"/>
    <w:multiLevelType w:val="singleLevel"/>
    <w:tmpl w:val="D79DD674"/>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8">
    <w:nsid w:val="D96EA01C"/>
    <w:multiLevelType w:val="multilevel"/>
    <w:tmpl w:val="D96EA01C"/>
    <w:lvl w:ilvl="0" w:tentative="0">
      <w:start w:val="1"/>
      <w:numFmt w:val="decimal"/>
      <w:suff w:val="nothing"/>
      <w:lvlText w:val="%1 "/>
      <w:lvlJc w:val="left"/>
      <w:pPr>
        <w:tabs>
          <w:tab w:val="left" w:pos="0"/>
        </w:tabs>
        <w:ind w:left="0" w:firstLine="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9">
    <w:nsid w:val="E46CB2DF"/>
    <w:multiLevelType w:val="singleLevel"/>
    <w:tmpl w:val="E46CB2DF"/>
    <w:lvl w:ilvl="0" w:tentative="0">
      <w:start w:val="1"/>
      <w:numFmt w:val="decimal"/>
      <w:suff w:val="nothing"/>
      <w:lvlText w:val="%1 "/>
      <w:lvlJc w:val="left"/>
      <w:pPr>
        <w:ind w:left="0" w:firstLine="0"/>
      </w:pPr>
      <w:rPr>
        <w:rFonts w:hint="default"/>
      </w:rPr>
    </w:lvl>
  </w:abstractNum>
  <w:abstractNum w:abstractNumId="20">
    <w:nsid w:val="EEB8BDA4"/>
    <w:multiLevelType w:val="multilevel"/>
    <w:tmpl w:val="EEB8BDA4"/>
    <w:lvl w:ilvl="0" w:tentative="0">
      <w:start w:val="1"/>
      <w:numFmt w:val="decimal"/>
      <w:suff w:val="nothing"/>
      <w:lvlText w:val="%1 "/>
      <w:lvlJc w:val="left"/>
      <w:pPr>
        <w:tabs>
          <w:tab w:val="left" w:pos="0"/>
        </w:tabs>
        <w:ind w:left="0" w:firstLine="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1">
    <w:nsid w:val="EF9E2025"/>
    <w:multiLevelType w:val="singleLevel"/>
    <w:tmpl w:val="EF9E2025"/>
    <w:lvl w:ilvl="0" w:tentative="0">
      <w:start w:val="2"/>
      <w:numFmt w:val="decimal"/>
      <w:suff w:val="nothing"/>
      <w:lvlText w:val="%1、"/>
      <w:lvlJc w:val="left"/>
    </w:lvl>
  </w:abstractNum>
  <w:abstractNum w:abstractNumId="22">
    <w:nsid w:val="FFD56ED0"/>
    <w:multiLevelType w:val="singleLevel"/>
    <w:tmpl w:val="FFD56ED0"/>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3">
    <w:nsid w:val="01892851"/>
    <w:multiLevelType w:val="singleLevel"/>
    <w:tmpl w:val="01892851"/>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4">
    <w:nsid w:val="0CE68B40"/>
    <w:multiLevelType w:val="singleLevel"/>
    <w:tmpl w:val="0CE68B40"/>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5">
    <w:nsid w:val="0E5C7998"/>
    <w:multiLevelType w:val="singleLevel"/>
    <w:tmpl w:val="0E5C7998"/>
    <w:lvl w:ilvl="0" w:tentative="0">
      <w:start w:val="1"/>
      <w:numFmt w:val="decimal"/>
      <w:suff w:val="nothing"/>
      <w:lvlText w:val="%1、"/>
      <w:lvlJc w:val="left"/>
    </w:lvl>
  </w:abstractNum>
  <w:abstractNum w:abstractNumId="26">
    <w:nsid w:val="0ED4E944"/>
    <w:multiLevelType w:val="singleLevel"/>
    <w:tmpl w:val="0ED4E944"/>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7">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8">
    <w:nsid w:val="123B88D2"/>
    <w:multiLevelType w:val="singleLevel"/>
    <w:tmpl w:val="123B88D2"/>
    <w:lvl w:ilvl="0" w:tentative="0">
      <w:start w:val="1"/>
      <w:numFmt w:val="decimal"/>
      <w:suff w:val="nothing"/>
      <w:lvlText w:val="10.%1 "/>
      <w:lvlJc w:val="left"/>
      <w:pPr>
        <w:tabs>
          <w:tab w:val="left" w:pos="0"/>
        </w:tabs>
        <w:ind w:left="0" w:firstLine="0"/>
      </w:pPr>
      <w:rPr>
        <w:rFonts w:hint="default" w:ascii="宋体" w:hAnsi="宋体" w:eastAsia="宋体" w:cs="宋体"/>
      </w:rPr>
    </w:lvl>
  </w:abstractNum>
  <w:abstractNum w:abstractNumId="29">
    <w:nsid w:val="178C37BE"/>
    <w:multiLevelType w:val="singleLevel"/>
    <w:tmpl w:val="178C37B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0">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31">
    <w:nsid w:val="1BFE92ED"/>
    <w:multiLevelType w:val="singleLevel"/>
    <w:tmpl w:val="1BFE92ED"/>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2">
    <w:nsid w:val="1D72D416"/>
    <w:multiLevelType w:val="singleLevel"/>
    <w:tmpl w:val="1D72D416"/>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33">
    <w:nsid w:val="279573C2"/>
    <w:multiLevelType w:val="singleLevel"/>
    <w:tmpl w:val="279573C2"/>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34">
    <w:nsid w:val="2CCB2960"/>
    <w:multiLevelType w:val="singleLevel"/>
    <w:tmpl w:val="2CCB2960"/>
    <w:lvl w:ilvl="0" w:tentative="0">
      <w:start w:val="1"/>
      <w:numFmt w:val="decimal"/>
      <w:suff w:val="nothing"/>
      <w:lvlText w:val="%1、"/>
      <w:lvlJc w:val="left"/>
    </w:lvl>
  </w:abstractNum>
  <w:abstractNum w:abstractNumId="35">
    <w:nsid w:val="2FA41774"/>
    <w:multiLevelType w:val="singleLevel"/>
    <w:tmpl w:val="2FA41774"/>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36">
    <w:nsid w:val="3167E9DB"/>
    <w:multiLevelType w:val="singleLevel"/>
    <w:tmpl w:val="3167E9DB"/>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7">
    <w:nsid w:val="33FBF834"/>
    <w:multiLevelType w:val="singleLevel"/>
    <w:tmpl w:val="33FBF834"/>
    <w:lvl w:ilvl="0" w:tentative="0">
      <w:start w:val="1"/>
      <w:numFmt w:val="decimal"/>
      <w:suff w:val="nothing"/>
      <w:lvlText w:val="7.%1 "/>
      <w:lvlJc w:val="left"/>
      <w:pPr>
        <w:tabs>
          <w:tab w:val="left" w:pos="0"/>
        </w:tabs>
        <w:ind w:left="0" w:firstLine="0"/>
      </w:pPr>
      <w:rPr>
        <w:rFonts w:hint="default" w:ascii="宋体" w:hAnsi="宋体" w:eastAsia="宋体" w:cs="宋体"/>
      </w:rPr>
    </w:lvl>
  </w:abstractNum>
  <w:abstractNum w:abstractNumId="38">
    <w:nsid w:val="422982C5"/>
    <w:multiLevelType w:val="singleLevel"/>
    <w:tmpl w:val="422982C5"/>
    <w:lvl w:ilvl="0" w:tentative="0">
      <w:start w:val="1"/>
      <w:numFmt w:val="decimal"/>
      <w:suff w:val="nothing"/>
      <w:lvlText w:val="2.2.%1 "/>
      <w:lvlJc w:val="left"/>
      <w:pPr>
        <w:tabs>
          <w:tab w:val="left" w:pos="0"/>
        </w:tabs>
        <w:ind w:left="0" w:firstLine="0"/>
      </w:pPr>
      <w:rPr>
        <w:rFonts w:hint="default" w:ascii="宋体" w:hAnsi="宋体" w:eastAsia="宋体" w:cs="宋体"/>
      </w:rPr>
    </w:lvl>
  </w:abstractNum>
  <w:abstractNum w:abstractNumId="39">
    <w:nsid w:val="4BE88B05"/>
    <w:multiLevelType w:val="singleLevel"/>
    <w:tmpl w:val="4BE88B05"/>
    <w:lvl w:ilvl="0" w:tentative="0">
      <w:start w:val="1"/>
      <w:numFmt w:val="decimal"/>
      <w:suff w:val="nothing"/>
      <w:lvlText w:val="1.4.%1 "/>
      <w:lvlJc w:val="left"/>
      <w:pPr>
        <w:tabs>
          <w:tab w:val="left" w:pos="0"/>
        </w:tabs>
        <w:ind w:left="0" w:firstLine="0"/>
      </w:pPr>
      <w:rPr>
        <w:rFonts w:hint="default" w:ascii="宋体" w:hAnsi="宋体" w:eastAsia="宋体" w:cs="宋体"/>
      </w:rPr>
    </w:lvl>
  </w:abstractNum>
  <w:abstractNum w:abstractNumId="40">
    <w:nsid w:val="4C75ECD3"/>
    <w:multiLevelType w:val="singleLevel"/>
    <w:tmpl w:val="4C75ECD3"/>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41">
    <w:nsid w:val="4D92EB2A"/>
    <w:multiLevelType w:val="singleLevel"/>
    <w:tmpl w:val="4D92EB2A"/>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42">
    <w:nsid w:val="50EC0B89"/>
    <w:multiLevelType w:val="singleLevel"/>
    <w:tmpl w:val="50EC0B89"/>
    <w:lvl w:ilvl="0" w:tentative="0">
      <w:start w:val="1"/>
      <w:numFmt w:val="decimal"/>
      <w:suff w:val="nothing"/>
      <w:lvlText w:val="5.1.5.%1 "/>
      <w:lvlJc w:val="left"/>
      <w:pPr>
        <w:tabs>
          <w:tab w:val="left" w:pos="0"/>
        </w:tabs>
        <w:ind w:left="0" w:firstLine="0"/>
      </w:pPr>
      <w:rPr>
        <w:rFonts w:hint="default" w:ascii="宋体" w:hAnsi="宋体" w:eastAsia="宋体" w:cs="宋体"/>
      </w:rPr>
    </w:lvl>
  </w:abstractNum>
  <w:abstractNum w:abstractNumId="43">
    <w:nsid w:val="54D4062F"/>
    <w:multiLevelType w:val="singleLevel"/>
    <w:tmpl w:val="54D4062F"/>
    <w:lvl w:ilvl="0" w:tentative="0">
      <w:start w:val="1"/>
      <w:numFmt w:val="decimal"/>
      <w:suff w:val="nothing"/>
      <w:lvlText w:val="%1、"/>
      <w:lvlJc w:val="left"/>
    </w:lvl>
  </w:abstractNum>
  <w:abstractNum w:abstractNumId="44">
    <w:nsid w:val="5AED99E6"/>
    <w:multiLevelType w:val="singleLevel"/>
    <w:tmpl w:val="5AED99E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45">
    <w:nsid w:val="64B36E87"/>
    <w:multiLevelType w:val="singleLevel"/>
    <w:tmpl w:val="64B36E87"/>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6">
    <w:nsid w:val="680F363F"/>
    <w:multiLevelType w:val="singleLevel"/>
    <w:tmpl w:val="680F363F"/>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7">
    <w:nsid w:val="68F289A6"/>
    <w:multiLevelType w:val="singleLevel"/>
    <w:tmpl w:val="68F289A6"/>
    <w:lvl w:ilvl="0" w:tentative="0">
      <w:start w:val="1"/>
      <w:numFmt w:val="decimal"/>
      <w:suff w:val="nothing"/>
      <w:lvlText w:val="7.2.%1 "/>
      <w:lvlJc w:val="left"/>
      <w:pPr>
        <w:tabs>
          <w:tab w:val="left" w:pos="0"/>
        </w:tabs>
        <w:ind w:left="0" w:firstLine="0"/>
      </w:pPr>
      <w:rPr>
        <w:rFonts w:hint="default" w:ascii="宋体" w:hAnsi="宋体" w:eastAsia="宋体" w:cs="宋体"/>
      </w:rPr>
    </w:lvl>
  </w:abstractNum>
  <w:abstractNum w:abstractNumId="48">
    <w:nsid w:val="6AC668C1"/>
    <w:multiLevelType w:val="singleLevel"/>
    <w:tmpl w:val="6AC668C1"/>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49">
    <w:nsid w:val="6CCFCF03"/>
    <w:multiLevelType w:val="singleLevel"/>
    <w:tmpl w:val="6CCFCF03"/>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50">
    <w:nsid w:val="7964025E"/>
    <w:multiLevelType w:val="singleLevel"/>
    <w:tmpl w:val="7964025E"/>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51">
    <w:nsid w:val="7A5C1FED"/>
    <w:multiLevelType w:val="singleLevel"/>
    <w:tmpl w:val="7A5C1FED"/>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52">
    <w:nsid w:val="7AFAE670"/>
    <w:multiLevelType w:val="singleLevel"/>
    <w:tmpl w:val="7AFAE670"/>
    <w:lvl w:ilvl="0" w:tentative="0">
      <w:start w:val="1"/>
      <w:numFmt w:val="decimal"/>
      <w:suff w:val="nothing"/>
      <w:lvlText w:val="5.%1 "/>
      <w:lvlJc w:val="left"/>
      <w:pPr>
        <w:tabs>
          <w:tab w:val="left" w:pos="0"/>
        </w:tabs>
        <w:ind w:left="0" w:firstLine="0"/>
      </w:pPr>
      <w:rPr>
        <w:rFonts w:hint="default" w:ascii="宋体" w:hAnsi="宋体" w:eastAsia="宋体" w:cs="宋体"/>
      </w:rPr>
    </w:lvl>
  </w:abstractNum>
  <w:num w:numId="1">
    <w:abstractNumId w:val="19"/>
  </w:num>
  <w:num w:numId="2">
    <w:abstractNumId w:val="31"/>
  </w:num>
  <w:num w:numId="3">
    <w:abstractNumId w:val="39"/>
  </w:num>
  <w:num w:numId="4">
    <w:abstractNumId w:val="46"/>
  </w:num>
  <w:num w:numId="5">
    <w:abstractNumId w:val="17"/>
  </w:num>
  <w:num w:numId="6">
    <w:abstractNumId w:val="51"/>
  </w:num>
  <w:num w:numId="7">
    <w:abstractNumId w:val="2"/>
  </w:num>
  <w:num w:numId="8">
    <w:abstractNumId w:val="12"/>
  </w:num>
  <w:num w:numId="9">
    <w:abstractNumId w:val="16"/>
  </w:num>
  <w:num w:numId="10">
    <w:abstractNumId w:val="1"/>
  </w:num>
  <w:num w:numId="11">
    <w:abstractNumId w:val="34"/>
  </w:num>
  <w:num w:numId="12">
    <w:abstractNumId w:val="25"/>
  </w:num>
  <w:num w:numId="13">
    <w:abstractNumId w:val="43"/>
  </w:num>
  <w:num w:numId="14">
    <w:abstractNumId w:val="8"/>
  </w:num>
  <w:num w:numId="15">
    <w:abstractNumId w:val="4"/>
  </w:num>
  <w:num w:numId="16">
    <w:abstractNumId w:val="5"/>
  </w:num>
  <w:num w:numId="17">
    <w:abstractNumId w:val="44"/>
  </w:num>
  <w:num w:numId="18">
    <w:abstractNumId w:val="15"/>
  </w:num>
  <w:num w:numId="19">
    <w:abstractNumId w:val="32"/>
  </w:num>
  <w:num w:numId="20">
    <w:abstractNumId w:val="40"/>
  </w:num>
  <w:num w:numId="21">
    <w:abstractNumId w:val="3"/>
  </w:num>
  <w:num w:numId="22">
    <w:abstractNumId w:val="42"/>
  </w:num>
  <w:num w:numId="23">
    <w:abstractNumId w:val="22"/>
  </w:num>
  <w:num w:numId="24">
    <w:abstractNumId w:val="49"/>
  </w:num>
  <w:num w:numId="25">
    <w:abstractNumId w:val="13"/>
  </w:num>
  <w:num w:numId="26">
    <w:abstractNumId w:val="36"/>
  </w:num>
  <w:num w:numId="27">
    <w:abstractNumId w:val="18"/>
  </w:num>
  <w:num w:numId="28">
    <w:abstractNumId w:val="41"/>
  </w:num>
  <w:num w:numId="29">
    <w:abstractNumId w:val="7"/>
  </w:num>
  <w:num w:numId="30">
    <w:abstractNumId w:val="11"/>
  </w:num>
  <w:num w:numId="31">
    <w:abstractNumId w:val="14"/>
  </w:num>
  <w:num w:numId="32">
    <w:abstractNumId w:val="26"/>
  </w:num>
  <w:num w:numId="33">
    <w:abstractNumId w:val="52"/>
  </w:num>
  <w:num w:numId="34">
    <w:abstractNumId w:val="37"/>
  </w:num>
  <w:num w:numId="35">
    <w:abstractNumId w:val="47"/>
  </w:num>
  <w:num w:numId="36">
    <w:abstractNumId w:val="35"/>
  </w:num>
  <w:num w:numId="37">
    <w:abstractNumId w:val="20"/>
  </w:num>
  <w:num w:numId="38">
    <w:abstractNumId w:val="6"/>
  </w:num>
  <w:num w:numId="39">
    <w:abstractNumId w:val="45"/>
  </w:num>
  <w:num w:numId="40">
    <w:abstractNumId w:val="38"/>
  </w:num>
  <w:num w:numId="41">
    <w:abstractNumId w:val="24"/>
  </w:num>
  <w:num w:numId="42">
    <w:abstractNumId w:val="29"/>
  </w:num>
  <w:num w:numId="43">
    <w:abstractNumId w:val="50"/>
  </w:num>
  <w:num w:numId="44">
    <w:abstractNumId w:val="23"/>
  </w:num>
  <w:num w:numId="45">
    <w:abstractNumId w:val="33"/>
  </w:num>
  <w:num w:numId="46">
    <w:abstractNumId w:val="48"/>
  </w:num>
  <w:num w:numId="47">
    <w:abstractNumId w:val="28"/>
  </w:num>
  <w:num w:numId="48">
    <w:abstractNumId w:val="10"/>
  </w:num>
  <w:num w:numId="49">
    <w:abstractNumId w:val="9"/>
  </w:num>
  <w:num w:numId="50">
    <w:abstractNumId w:val="21"/>
  </w:num>
  <w:num w:numId="51">
    <w:abstractNumId w:val="27"/>
  </w:num>
  <w:num w:numId="52">
    <w:abstractNumId w:val="30"/>
  </w:num>
  <w:num w:numId="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Dc0YzJhMWU3ZWQ0Yzg4OTY5NjNmODQxMTBkNTkifQ=="/>
  </w:docVars>
  <w:rsids>
    <w:rsidRoot w:val="008D6CE3"/>
    <w:rsid w:val="00074C15"/>
    <w:rsid w:val="00100B02"/>
    <w:rsid w:val="00272204"/>
    <w:rsid w:val="002A4EA7"/>
    <w:rsid w:val="002C6B2B"/>
    <w:rsid w:val="00333DE7"/>
    <w:rsid w:val="003352D3"/>
    <w:rsid w:val="003364F0"/>
    <w:rsid w:val="003C5A72"/>
    <w:rsid w:val="00432D8F"/>
    <w:rsid w:val="004921E0"/>
    <w:rsid w:val="005426B2"/>
    <w:rsid w:val="005817E4"/>
    <w:rsid w:val="005C2C97"/>
    <w:rsid w:val="00602165"/>
    <w:rsid w:val="00625089"/>
    <w:rsid w:val="00660330"/>
    <w:rsid w:val="0069298C"/>
    <w:rsid w:val="007F7C09"/>
    <w:rsid w:val="00887A53"/>
    <w:rsid w:val="008D6CE3"/>
    <w:rsid w:val="009C0858"/>
    <w:rsid w:val="009C35DD"/>
    <w:rsid w:val="00CF74BB"/>
    <w:rsid w:val="00D035DC"/>
    <w:rsid w:val="00FA6F75"/>
    <w:rsid w:val="08AC25CB"/>
    <w:rsid w:val="0C2E5A0A"/>
    <w:rsid w:val="103B3567"/>
    <w:rsid w:val="12F577EF"/>
    <w:rsid w:val="23874ACA"/>
    <w:rsid w:val="2C3C6A18"/>
    <w:rsid w:val="34BE078B"/>
    <w:rsid w:val="3E032565"/>
    <w:rsid w:val="42013457"/>
    <w:rsid w:val="42905D75"/>
    <w:rsid w:val="441817D8"/>
    <w:rsid w:val="49F75575"/>
    <w:rsid w:val="5064216D"/>
    <w:rsid w:val="51B247F2"/>
    <w:rsid w:val="53A1532A"/>
    <w:rsid w:val="587A07F0"/>
    <w:rsid w:val="5CC04DD3"/>
    <w:rsid w:val="5D5E4850"/>
    <w:rsid w:val="5DDF1F94"/>
    <w:rsid w:val="65B73862"/>
    <w:rsid w:val="6A9D1296"/>
    <w:rsid w:val="6B4820C3"/>
    <w:rsid w:val="6DF45E6F"/>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35"/>
    <w:qFormat/>
    <w:uiPriority w:val="0"/>
    <w:pPr>
      <w:keepNext/>
      <w:keepLines/>
      <w:spacing w:before="340" w:after="330" w:line="578" w:lineRule="atLeast"/>
      <w:outlineLvl w:val="0"/>
    </w:pPr>
    <w:rPr>
      <w:b/>
      <w:kern w:val="44"/>
      <w:sz w:val="44"/>
    </w:rPr>
  </w:style>
  <w:style w:type="paragraph" w:styleId="3">
    <w:name w:val="heading 2"/>
    <w:basedOn w:val="1"/>
    <w:next w:val="1"/>
    <w:link w:val="36"/>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4">
    <w:name w:val="heading 3"/>
    <w:basedOn w:val="1"/>
    <w:next w:val="5"/>
    <w:link w:val="37"/>
    <w:qFormat/>
    <w:uiPriority w:val="0"/>
    <w:pPr>
      <w:keepNext/>
      <w:keepLines/>
      <w:spacing w:before="260" w:after="260" w:line="416" w:lineRule="atLeast"/>
      <w:outlineLvl w:val="2"/>
    </w:pPr>
    <w:rPr>
      <w:b/>
      <w:sz w:val="32"/>
    </w:rPr>
  </w:style>
  <w:style w:type="paragraph" w:styleId="6">
    <w:name w:val="heading 4"/>
    <w:basedOn w:val="1"/>
    <w:next w:val="7"/>
    <w:link w:val="38"/>
    <w:qFormat/>
    <w:uiPriority w:val="0"/>
    <w:pPr>
      <w:keepNext/>
      <w:keepLines/>
      <w:autoSpaceDE/>
      <w:autoSpaceDN/>
      <w:adjustRightInd/>
      <w:spacing w:before="120" w:after="120" w:line="240" w:lineRule="auto"/>
      <w:textAlignment w:val="auto"/>
      <w:outlineLvl w:val="3"/>
    </w:pPr>
    <w:rPr>
      <w:rFonts w:ascii="Arial" w:hAnsi="Arial"/>
      <w:kern w:val="2"/>
      <w:sz w:val="30"/>
    </w:rPr>
  </w:style>
  <w:style w:type="paragraph" w:styleId="8">
    <w:name w:val="heading 5"/>
    <w:basedOn w:val="1"/>
    <w:next w:val="7"/>
    <w:link w:val="39"/>
    <w:qFormat/>
    <w:uiPriority w:val="0"/>
    <w:pPr>
      <w:keepNext/>
      <w:keepLines/>
      <w:autoSpaceDE/>
      <w:autoSpaceDN/>
      <w:adjustRightInd/>
      <w:spacing w:before="120" w:after="120" w:line="240" w:lineRule="auto"/>
      <w:textAlignment w:val="auto"/>
      <w:outlineLvl w:val="4"/>
    </w:pPr>
    <w:rPr>
      <w:rFonts w:ascii="小标宋"/>
      <w:kern w:val="2"/>
      <w:sz w:val="24"/>
    </w:rPr>
  </w:style>
  <w:style w:type="paragraph" w:styleId="9">
    <w:name w:val="heading 6"/>
    <w:basedOn w:val="1"/>
    <w:next w:val="7"/>
    <w:link w:val="40"/>
    <w:qFormat/>
    <w:uiPriority w:val="0"/>
    <w:pPr>
      <w:keepNext/>
      <w:keepLines/>
      <w:autoSpaceDE/>
      <w:autoSpaceDN/>
      <w:adjustRightInd/>
      <w:spacing w:before="240" w:after="64" w:line="317" w:lineRule="auto"/>
      <w:textAlignment w:val="auto"/>
      <w:outlineLvl w:val="5"/>
    </w:pPr>
    <w:rPr>
      <w:rFonts w:ascii="Arial" w:hAnsi="Arial" w:eastAsia="黑体"/>
      <w:kern w:val="2"/>
      <w:sz w:val="24"/>
    </w:rPr>
  </w:style>
  <w:style w:type="paragraph" w:styleId="10">
    <w:name w:val="heading 7"/>
    <w:basedOn w:val="1"/>
    <w:next w:val="7"/>
    <w:link w:val="41"/>
    <w:qFormat/>
    <w:uiPriority w:val="0"/>
    <w:pPr>
      <w:keepNext/>
      <w:keepLines/>
      <w:autoSpaceDE/>
      <w:autoSpaceDN/>
      <w:adjustRightInd/>
      <w:spacing w:before="240" w:after="64" w:line="317" w:lineRule="auto"/>
      <w:textAlignment w:val="auto"/>
      <w:outlineLvl w:val="6"/>
    </w:pPr>
    <w:rPr>
      <w:rFonts w:ascii="宋体"/>
      <w:kern w:val="2"/>
      <w:sz w:val="24"/>
    </w:rPr>
  </w:style>
  <w:style w:type="paragraph" w:styleId="11">
    <w:name w:val="heading 8"/>
    <w:basedOn w:val="1"/>
    <w:next w:val="7"/>
    <w:link w:val="42"/>
    <w:qFormat/>
    <w:uiPriority w:val="0"/>
    <w:pPr>
      <w:keepNext/>
      <w:keepLines/>
      <w:autoSpaceDE/>
      <w:autoSpaceDN/>
      <w:adjustRightInd/>
      <w:spacing w:before="240" w:after="64" w:line="317" w:lineRule="auto"/>
      <w:textAlignment w:val="auto"/>
      <w:outlineLvl w:val="7"/>
    </w:pPr>
    <w:rPr>
      <w:rFonts w:ascii="Arial" w:hAnsi="Arial" w:eastAsia="黑体"/>
      <w:b/>
      <w:kern w:val="2"/>
      <w:sz w:val="24"/>
    </w:rPr>
  </w:style>
  <w:style w:type="paragraph" w:styleId="12">
    <w:name w:val="heading 9"/>
    <w:basedOn w:val="1"/>
    <w:next w:val="7"/>
    <w:link w:val="43"/>
    <w:qFormat/>
    <w:uiPriority w:val="0"/>
    <w:pPr>
      <w:keepNext/>
      <w:keepLines/>
      <w:autoSpaceDE/>
      <w:autoSpaceDN/>
      <w:adjustRightInd/>
      <w:spacing w:before="240" w:after="64" w:line="317" w:lineRule="auto"/>
      <w:textAlignment w:val="auto"/>
      <w:outlineLvl w:val="8"/>
    </w:pPr>
    <w:rPr>
      <w:rFonts w:ascii="Arial" w:hAnsi="Arial" w:eastAsia="黑体"/>
      <w:b/>
      <w:kern w:val="2"/>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4"/>
    <w:qFormat/>
    <w:uiPriority w:val="0"/>
    <w:pPr>
      <w:spacing w:line="480" w:lineRule="atLeast"/>
      <w:ind w:right="238"/>
      <w:jc w:val="left"/>
    </w:pPr>
    <w:rPr>
      <w:rFonts w:ascii="仿宋_GB2312" w:eastAsia="仿宋_GB2312"/>
      <w:sz w:val="28"/>
    </w:rPr>
  </w:style>
  <w:style w:type="paragraph" w:styleId="7">
    <w:name w:val="Normal Indent"/>
    <w:basedOn w:val="1"/>
    <w:qFormat/>
    <w:uiPriority w:val="0"/>
    <w:pPr>
      <w:ind w:firstLine="420"/>
    </w:pPr>
  </w:style>
  <w:style w:type="paragraph" w:styleId="13">
    <w:name w:val="Document Map"/>
    <w:basedOn w:val="1"/>
    <w:link w:val="45"/>
    <w:qFormat/>
    <w:uiPriority w:val="0"/>
    <w:pPr>
      <w:shd w:val="clear" w:color="auto" w:fill="000080"/>
    </w:pPr>
  </w:style>
  <w:style w:type="paragraph" w:styleId="14">
    <w:name w:val="annotation text"/>
    <w:basedOn w:val="1"/>
    <w:next w:val="15"/>
    <w:link w:val="46"/>
    <w:qFormat/>
    <w:uiPriority w:val="0"/>
    <w:pPr>
      <w:jc w:val="left"/>
    </w:pPr>
  </w:style>
  <w:style w:type="paragraph" w:styleId="15">
    <w:name w:val="Balloon Text"/>
    <w:basedOn w:val="1"/>
    <w:link w:val="51"/>
    <w:qFormat/>
    <w:uiPriority w:val="0"/>
    <w:rPr>
      <w:sz w:val="18"/>
      <w:szCs w:val="18"/>
    </w:rPr>
  </w:style>
  <w:style w:type="paragraph" w:styleId="16">
    <w:name w:val="Body Text Indent"/>
    <w:basedOn w:val="1"/>
    <w:link w:val="47"/>
    <w:qFormat/>
    <w:uiPriority w:val="0"/>
    <w:pPr>
      <w:autoSpaceDE/>
      <w:autoSpaceDN/>
      <w:spacing w:line="360" w:lineRule="atLeast"/>
      <w:ind w:firstLine="480"/>
      <w:jc w:val="left"/>
    </w:pPr>
    <w:rPr>
      <w:sz w:val="24"/>
    </w:rPr>
  </w:style>
  <w:style w:type="paragraph" w:styleId="17">
    <w:name w:val="toc 5"/>
    <w:basedOn w:val="1"/>
    <w:next w:val="1"/>
    <w:qFormat/>
    <w:uiPriority w:val="0"/>
    <w:pPr>
      <w:autoSpaceDE/>
      <w:autoSpaceDN/>
      <w:spacing w:line="360" w:lineRule="atLeast"/>
      <w:ind w:left="1680"/>
      <w:jc w:val="left"/>
    </w:pPr>
    <w:rPr>
      <w:sz w:val="24"/>
    </w:rPr>
  </w:style>
  <w:style w:type="paragraph" w:styleId="18">
    <w:name w:val="toc 3"/>
    <w:basedOn w:val="1"/>
    <w:next w:val="1"/>
    <w:qFormat/>
    <w:uiPriority w:val="0"/>
    <w:pPr>
      <w:tabs>
        <w:tab w:val="left" w:pos="1260"/>
        <w:tab w:val="left" w:pos="1680"/>
        <w:tab w:val="right" w:leader="dot" w:pos="8040"/>
      </w:tabs>
      <w:autoSpaceDE/>
      <w:autoSpaceDN/>
      <w:spacing w:after="120" w:line="360" w:lineRule="auto"/>
      <w:ind w:left="839" w:hanging="839"/>
      <w:jc w:val="left"/>
    </w:pPr>
    <w:rPr>
      <w:b/>
      <w:sz w:val="24"/>
    </w:rPr>
  </w:style>
  <w:style w:type="paragraph" w:styleId="19">
    <w:name w:val="Plain Text"/>
    <w:basedOn w:val="1"/>
    <w:link w:val="48"/>
    <w:qFormat/>
    <w:uiPriority w:val="0"/>
    <w:pPr>
      <w:autoSpaceDE/>
      <w:autoSpaceDN/>
      <w:adjustRightInd/>
      <w:spacing w:line="240" w:lineRule="auto"/>
      <w:textAlignment w:val="auto"/>
    </w:pPr>
    <w:rPr>
      <w:rFonts w:ascii="宋体" w:hAnsi="Courier New"/>
      <w:kern w:val="2"/>
    </w:rPr>
  </w:style>
  <w:style w:type="paragraph" w:styleId="20">
    <w:name w:val="Date"/>
    <w:basedOn w:val="1"/>
    <w:next w:val="1"/>
    <w:link w:val="49"/>
    <w:qFormat/>
    <w:uiPriority w:val="0"/>
    <w:pPr>
      <w:jc w:val="right"/>
    </w:pPr>
    <w:rPr>
      <w:sz w:val="28"/>
    </w:rPr>
  </w:style>
  <w:style w:type="paragraph" w:styleId="21">
    <w:name w:val="Body Text Indent 2"/>
    <w:basedOn w:val="1"/>
    <w:link w:val="50"/>
    <w:qFormat/>
    <w:uiPriority w:val="0"/>
    <w:pPr>
      <w:autoSpaceDE/>
      <w:autoSpaceDN/>
      <w:spacing w:line="360" w:lineRule="auto"/>
      <w:ind w:firstLine="425"/>
      <w:jc w:val="left"/>
    </w:pPr>
    <w:rPr>
      <w:sz w:val="24"/>
    </w:rPr>
  </w:style>
  <w:style w:type="paragraph" w:styleId="22">
    <w:name w:val="footer"/>
    <w:basedOn w:val="1"/>
    <w:link w:val="34"/>
    <w:unhideWhenUsed/>
    <w:qFormat/>
    <w:uiPriority w:val="0"/>
    <w:pPr>
      <w:tabs>
        <w:tab w:val="center" w:pos="4153"/>
        <w:tab w:val="right" w:pos="8306"/>
      </w:tabs>
      <w:snapToGrid w:val="0"/>
      <w:jc w:val="left"/>
    </w:pPr>
    <w:rPr>
      <w:sz w:val="18"/>
      <w:szCs w:val="18"/>
    </w:rPr>
  </w:style>
  <w:style w:type="paragraph" w:styleId="2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autoSpaceDE/>
      <w:autoSpaceDN/>
      <w:spacing w:after="120" w:line="240" w:lineRule="auto"/>
      <w:jc w:val="left"/>
    </w:pPr>
    <w:rPr>
      <w:sz w:val="24"/>
    </w:rPr>
  </w:style>
  <w:style w:type="paragraph" w:styleId="25">
    <w:name w:val="toc 2"/>
    <w:basedOn w:val="1"/>
    <w:next w:val="1"/>
    <w:qFormat/>
    <w:uiPriority w:val="0"/>
    <w:pPr>
      <w:ind w:left="420" w:leftChars="200"/>
    </w:pPr>
  </w:style>
  <w:style w:type="paragraph" w:styleId="26">
    <w:name w:val="Body Text 2"/>
    <w:basedOn w:val="1"/>
    <w:link w:val="52"/>
    <w:qFormat/>
    <w:uiPriority w:val="0"/>
    <w:pPr>
      <w:spacing w:after="120" w:line="480" w:lineRule="auto"/>
    </w:pPr>
  </w:style>
  <w:style w:type="paragraph" w:styleId="27">
    <w:name w:val="Normal (Web)"/>
    <w:basedOn w:val="1"/>
    <w:qFormat/>
    <w:uiPriority w:val="0"/>
    <w:pPr>
      <w:spacing w:before="100" w:beforeAutospacing="1" w:after="100" w:afterAutospacing="1"/>
      <w:jc w:val="left"/>
    </w:pPr>
    <w:rPr>
      <w:sz w:val="24"/>
    </w:r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rPr>
      <w:sz w:val="20"/>
    </w:rPr>
  </w:style>
  <w:style w:type="character" w:styleId="32">
    <w:name w:val="Hyperlink"/>
    <w:qFormat/>
    <w:uiPriority w:val="0"/>
    <w:rPr>
      <w:color w:val="0000FF"/>
      <w:u w:val="single"/>
    </w:rPr>
  </w:style>
  <w:style w:type="character" w:customStyle="1" w:styleId="33">
    <w:name w:val="页眉 字符"/>
    <w:basedOn w:val="30"/>
    <w:link w:val="23"/>
    <w:qFormat/>
    <w:uiPriority w:val="0"/>
    <w:rPr>
      <w:sz w:val="18"/>
      <w:szCs w:val="18"/>
    </w:rPr>
  </w:style>
  <w:style w:type="character" w:customStyle="1" w:styleId="34">
    <w:name w:val="页脚 字符"/>
    <w:basedOn w:val="30"/>
    <w:link w:val="22"/>
    <w:qFormat/>
    <w:uiPriority w:val="0"/>
    <w:rPr>
      <w:sz w:val="18"/>
      <w:szCs w:val="18"/>
    </w:rPr>
  </w:style>
  <w:style w:type="character" w:customStyle="1" w:styleId="35">
    <w:name w:val="标题 1 字符"/>
    <w:basedOn w:val="30"/>
    <w:link w:val="2"/>
    <w:qFormat/>
    <w:uiPriority w:val="0"/>
    <w:rPr>
      <w:rFonts w:ascii="Times New Roman" w:hAnsi="Times New Roman" w:eastAsia="宋体" w:cs="Times New Roman"/>
      <w:b/>
      <w:kern w:val="44"/>
      <w:sz w:val="44"/>
      <w:szCs w:val="20"/>
    </w:rPr>
  </w:style>
  <w:style w:type="character" w:customStyle="1" w:styleId="36">
    <w:name w:val="标题 2 字符"/>
    <w:basedOn w:val="30"/>
    <w:link w:val="3"/>
    <w:qFormat/>
    <w:uiPriority w:val="0"/>
    <w:rPr>
      <w:rFonts w:ascii="Arial" w:hAnsi="Arial" w:eastAsia="黑体" w:cs="Times New Roman"/>
      <w:b/>
      <w:spacing w:val="10"/>
      <w:kern w:val="0"/>
      <w:sz w:val="32"/>
      <w:szCs w:val="20"/>
    </w:rPr>
  </w:style>
  <w:style w:type="character" w:customStyle="1" w:styleId="37">
    <w:name w:val="标题 3 字符"/>
    <w:basedOn w:val="30"/>
    <w:link w:val="4"/>
    <w:qFormat/>
    <w:uiPriority w:val="0"/>
    <w:rPr>
      <w:rFonts w:ascii="Times New Roman" w:hAnsi="Times New Roman" w:eastAsia="宋体" w:cs="Times New Roman"/>
      <w:b/>
      <w:kern w:val="0"/>
      <w:sz w:val="32"/>
      <w:szCs w:val="20"/>
    </w:rPr>
  </w:style>
  <w:style w:type="character" w:customStyle="1" w:styleId="38">
    <w:name w:val="标题 4 字符"/>
    <w:basedOn w:val="30"/>
    <w:link w:val="6"/>
    <w:qFormat/>
    <w:uiPriority w:val="0"/>
    <w:rPr>
      <w:rFonts w:ascii="Arial" w:hAnsi="Arial" w:eastAsia="宋体" w:cs="Times New Roman"/>
      <w:sz w:val="30"/>
      <w:szCs w:val="20"/>
    </w:rPr>
  </w:style>
  <w:style w:type="character" w:customStyle="1" w:styleId="39">
    <w:name w:val="标题 5 字符"/>
    <w:basedOn w:val="30"/>
    <w:link w:val="8"/>
    <w:qFormat/>
    <w:uiPriority w:val="0"/>
    <w:rPr>
      <w:rFonts w:ascii="小标宋" w:hAnsi="Times New Roman" w:eastAsia="宋体" w:cs="Times New Roman"/>
      <w:sz w:val="24"/>
      <w:szCs w:val="20"/>
    </w:rPr>
  </w:style>
  <w:style w:type="character" w:customStyle="1" w:styleId="40">
    <w:name w:val="标题 6 字符"/>
    <w:basedOn w:val="30"/>
    <w:link w:val="9"/>
    <w:qFormat/>
    <w:uiPriority w:val="0"/>
    <w:rPr>
      <w:rFonts w:ascii="Arial" w:hAnsi="Arial" w:eastAsia="黑体" w:cs="Times New Roman"/>
      <w:sz w:val="24"/>
      <w:szCs w:val="20"/>
    </w:rPr>
  </w:style>
  <w:style w:type="character" w:customStyle="1" w:styleId="41">
    <w:name w:val="标题 7 字符"/>
    <w:basedOn w:val="30"/>
    <w:link w:val="10"/>
    <w:qFormat/>
    <w:uiPriority w:val="0"/>
    <w:rPr>
      <w:rFonts w:ascii="宋体" w:hAnsi="Times New Roman" w:eastAsia="宋体" w:cs="Times New Roman"/>
      <w:sz w:val="24"/>
      <w:szCs w:val="20"/>
    </w:rPr>
  </w:style>
  <w:style w:type="character" w:customStyle="1" w:styleId="42">
    <w:name w:val="标题 8 字符"/>
    <w:basedOn w:val="30"/>
    <w:link w:val="11"/>
    <w:qFormat/>
    <w:uiPriority w:val="0"/>
    <w:rPr>
      <w:rFonts w:ascii="Arial" w:hAnsi="Arial" w:eastAsia="黑体" w:cs="Times New Roman"/>
      <w:b/>
      <w:sz w:val="24"/>
      <w:szCs w:val="20"/>
    </w:rPr>
  </w:style>
  <w:style w:type="character" w:customStyle="1" w:styleId="43">
    <w:name w:val="标题 9 字符"/>
    <w:basedOn w:val="30"/>
    <w:link w:val="12"/>
    <w:qFormat/>
    <w:uiPriority w:val="0"/>
    <w:rPr>
      <w:rFonts w:ascii="Arial" w:hAnsi="Arial" w:eastAsia="黑体" w:cs="Times New Roman"/>
      <w:b/>
      <w:sz w:val="24"/>
      <w:szCs w:val="20"/>
    </w:rPr>
  </w:style>
  <w:style w:type="character" w:customStyle="1" w:styleId="44">
    <w:name w:val="正文文本 字符"/>
    <w:basedOn w:val="30"/>
    <w:link w:val="5"/>
    <w:qFormat/>
    <w:uiPriority w:val="0"/>
    <w:rPr>
      <w:rFonts w:ascii="仿宋_GB2312" w:hAnsi="Times New Roman" w:eastAsia="仿宋_GB2312" w:cs="Times New Roman"/>
      <w:kern w:val="0"/>
      <w:sz w:val="28"/>
      <w:szCs w:val="20"/>
    </w:rPr>
  </w:style>
  <w:style w:type="character" w:customStyle="1" w:styleId="45">
    <w:name w:val="文档结构图 字符"/>
    <w:basedOn w:val="30"/>
    <w:link w:val="13"/>
    <w:qFormat/>
    <w:uiPriority w:val="0"/>
    <w:rPr>
      <w:rFonts w:ascii="Times New Roman" w:hAnsi="Times New Roman" w:eastAsia="宋体" w:cs="Times New Roman"/>
      <w:kern w:val="0"/>
      <w:szCs w:val="20"/>
      <w:shd w:val="clear" w:color="auto" w:fill="000080"/>
    </w:rPr>
  </w:style>
  <w:style w:type="character" w:customStyle="1" w:styleId="46">
    <w:name w:val="批注文字 字符"/>
    <w:basedOn w:val="30"/>
    <w:link w:val="14"/>
    <w:qFormat/>
    <w:uiPriority w:val="0"/>
    <w:rPr>
      <w:rFonts w:ascii="Times New Roman" w:hAnsi="Times New Roman" w:eastAsia="宋体" w:cs="Times New Roman"/>
      <w:kern w:val="0"/>
      <w:szCs w:val="20"/>
    </w:rPr>
  </w:style>
  <w:style w:type="character" w:customStyle="1" w:styleId="47">
    <w:name w:val="正文文本缩进 字符"/>
    <w:basedOn w:val="30"/>
    <w:link w:val="16"/>
    <w:qFormat/>
    <w:uiPriority w:val="0"/>
    <w:rPr>
      <w:rFonts w:ascii="Times New Roman" w:hAnsi="Times New Roman" w:eastAsia="宋体" w:cs="Times New Roman"/>
      <w:kern w:val="0"/>
      <w:sz w:val="24"/>
      <w:szCs w:val="20"/>
    </w:rPr>
  </w:style>
  <w:style w:type="character" w:customStyle="1" w:styleId="48">
    <w:name w:val="纯文本 字符"/>
    <w:basedOn w:val="30"/>
    <w:link w:val="19"/>
    <w:qFormat/>
    <w:uiPriority w:val="0"/>
    <w:rPr>
      <w:rFonts w:ascii="宋体" w:hAnsi="Courier New" w:eastAsia="宋体" w:cs="Times New Roman"/>
      <w:szCs w:val="20"/>
    </w:rPr>
  </w:style>
  <w:style w:type="character" w:customStyle="1" w:styleId="49">
    <w:name w:val="日期 字符"/>
    <w:basedOn w:val="30"/>
    <w:link w:val="20"/>
    <w:qFormat/>
    <w:uiPriority w:val="0"/>
    <w:rPr>
      <w:rFonts w:ascii="Times New Roman" w:hAnsi="Times New Roman" w:eastAsia="宋体" w:cs="Times New Roman"/>
      <w:kern w:val="0"/>
      <w:sz w:val="28"/>
      <w:szCs w:val="20"/>
    </w:rPr>
  </w:style>
  <w:style w:type="character" w:customStyle="1" w:styleId="50">
    <w:name w:val="正文文本缩进 2 字符"/>
    <w:basedOn w:val="30"/>
    <w:link w:val="21"/>
    <w:qFormat/>
    <w:uiPriority w:val="0"/>
    <w:rPr>
      <w:rFonts w:ascii="Times New Roman" w:hAnsi="Times New Roman" w:eastAsia="宋体" w:cs="Times New Roman"/>
      <w:kern w:val="0"/>
      <w:sz w:val="24"/>
      <w:szCs w:val="20"/>
    </w:rPr>
  </w:style>
  <w:style w:type="character" w:customStyle="1" w:styleId="51">
    <w:name w:val="批注框文本 字符"/>
    <w:basedOn w:val="30"/>
    <w:link w:val="15"/>
    <w:qFormat/>
    <w:uiPriority w:val="0"/>
    <w:rPr>
      <w:rFonts w:ascii="Times New Roman" w:hAnsi="Times New Roman" w:eastAsia="宋体" w:cs="Times New Roman"/>
      <w:kern w:val="0"/>
      <w:sz w:val="18"/>
      <w:szCs w:val="18"/>
    </w:rPr>
  </w:style>
  <w:style w:type="character" w:customStyle="1" w:styleId="52">
    <w:name w:val="正文文本 2 字符"/>
    <w:basedOn w:val="30"/>
    <w:link w:val="26"/>
    <w:qFormat/>
    <w:uiPriority w:val="0"/>
    <w:rPr>
      <w:rFonts w:ascii="Times New Roman" w:hAnsi="Times New Roman" w:eastAsia="宋体" w:cs="Times New Roman"/>
      <w:kern w:val="0"/>
      <w:szCs w:val="20"/>
    </w:rPr>
  </w:style>
  <w:style w:type="character" w:customStyle="1" w:styleId="53">
    <w:name w:val="样式2 Char"/>
    <w:qFormat/>
    <w:uiPriority w:val="0"/>
    <w:rPr>
      <w:rFonts w:eastAsia="宋体"/>
      <w:sz w:val="24"/>
      <w:lang w:val="en-US" w:eastAsia="zh-CN" w:bidi="ar-SA"/>
    </w:rPr>
  </w:style>
  <w:style w:type="character" w:customStyle="1" w:styleId="54">
    <w:name w:val="样式2 Char1"/>
    <w:link w:val="55"/>
    <w:qFormat/>
    <w:uiPriority w:val="0"/>
    <w:rPr>
      <w:rFonts w:eastAsia="宋体"/>
      <w:sz w:val="24"/>
    </w:rPr>
  </w:style>
  <w:style w:type="paragraph" w:customStyle="1" w:styleId="55">
    <w:name w:val="样式2"/>
    <w:basedOn w:val="1"/>
    <w:link w:val="54"/>
    <w:qFormat/>
    <w:uiPriority w:val="0"/>
    <w:pPr>
      <w:autoSpaceDE/>
      <w:autoSpaceDN/>
      <w:spacing w:line="410" w:lineRule="atLeast"/>
      <w:jc w:val="left"/>
    </w:pPr>
    <w:rPr>
      <w:rFonts w:asciiTheme="minorHAnsi" w:hAnsiTheme="minorHAnsi" w:cstheme="minorBidi"/>
      <w:kern w:val="2"/>
      <w:sz w:val="24"/>
      <w:szCs w:val="22"/>
    </w:rPr>
  </w:style>
  <w:style w:type="paragraph" w:customStyle="1" w:styleId="56">
    <w:name w:val="_Style 10"/>
    <w:basedOn w:val="1"/>
    <w:qFormat/>
    <w:uiPriority w:val="34"/>
    <w:pPr>
      <w:ind w:firstLine="420" w:firstLineChars="200"/>
    </w:pPr>
    <w:rPr>
      <w:szCs w:val="24"/>
    </w:rPr>
  </w:style>
  <w:style w:type="paragraph" w:customStyle="1" w:styleId="57">
    <w:name w:val="标题3"/>
    <w:basedOn w:val="4"/>
    <w:qFormat/>
    <w:uiPriority w:val="0"/>
    <w:pPr>
      <w:keepLines w:val="0"/>
      <w:tabs>
        <w:tab w:val="left" w:pos="840"/>
      </w:tabs>
      <w:spacing w:before="0" w:after="0" w:line="360" w:lineRule="auto"/>
    </w:pPr>
    <w:rPr>
      <w:rFonts w:ascii="宋体"/>
      <w:b w:val="0"/>
      <w:color w:val="000000"/>
      <w:sz w:val="24"/>
    </w:rPr>
  </w:style>
  <w:style w:type="paragraph" w:customStyle="1" w:styleId="58">
    <w:name w:val="用户标题1"/>
    <w:basedOn w:val="59"/>
    <w:qFormat/>
    <w:uiPriority w:val="0"/>
    <w:rPr>
      <w:b/>
      <w:bCs/>
    </w:rPr>
  </w:style>
  <w:style w:type="paragraph" w:customStyle="1" w:styleId="59">
    <w:name w:val="用户正文1"/>
    <w:qFormat/>
    <w:uiPriority w:val="0"/>
    <w:pPr>
      <w:spacing w:line="360" w:lineRule="auto"/>
      <w:ind w:firstLine="573"/>
      <w:jc w:val="both"/>
      <w:textAlignment w:val="center"/>
    </w:pPr>
    <w:rPr>
      <w:rFonts w:ascii="Times New Roman" w:hAnsi="Times New Roman" w:eastAsia="宋体" w:cs="Times New Roman"/>
      <w:kern w:val="0"/>
      <w:sz w:val="30"/>
      <w:szCs w:val="30"/>
      <w:lang w:val="en-US" w:eastAsia="zh-CN" w:bidi="ar-SA"/>
    </w:rPr>
  </w:style>
  <w:style w:type="paragraph" w:customStyle="1" w:styleId="60">
    <w:name w:val="列出段落1"/>
    <w:basedOn w:val="1"/>
    <w:qFormat/>
    <w:uiPriority w:val="99"/>
    <w:pPr>
      <w:ind w:firstLine="420" w:firstLineChars="200"/>
    </w:pPr>
  </w:style>
  <w:style w:type="paragraph" w:customStyle="1" w:styleId="61">
    <w:name w:val="标题1 Char Char Char"/>
    <w:basedOn w:val="2"/>
    <w:qFormat/>
    <w:uiPriority w:val="0"/>
    <w:pPr>
      <w:tabs>
        <w:tab w:val="center" w:pos="4512"/>
        <w:tab w:val="center" w:pos="4606"/>
      </w:tabs>
      <w:snapToGrid w:val="0"/>
      <w:spacing w:before="0" w:after="120" w:afterLines="50" w:line="360" w:lineRule="auto"/>
    </w:pPr>
    <w:rPr>
      <w:rFonts w:ascii="宋体" w:hAnsi="宋体"/>
      <w:sz w:val="30"/>
      <w:szCs w:val="30"/>
    </w:rPr>
  </w:style>
  <w:style w:type="paragraph" w:customStyle="1" w:styleId="62">
    <w:name w:val="样式3"/>
    <w:basedOn w:val="19"/>
    <w:qFormat/>
    <w:uiPriority w:val="0"/>
    <w:pPr>
      <w:spacing w:line="0" w:lineRule="atLeast"/>
      <w:outlineLvl w:val="0"/>
    </w:pPr>
    <w:rPr>
      <w:sz w:val="28"/>
    </w:rPr>
  </w:style>
  <w:style w:type="paragraph" w:customStyle="1" w:styleId="63">
    <w:name w:val="标题4"/>
    <w:basedOn w:val="6"/>
    <w:qFormat/>
    <w:uiPriority w:val="0"/>
    <w:pPr>
      <w:keepLines w:val="0"/>
      <w:spacing w:before="0" w:after="0" w:line="360" w:lineRule="auto"/>
      <w:ind w:firstLine="360" w:firstLineChars="150"/>
    </w:pPr>
    <w:rPr>
      <w:b/>
      <w:sz w:val="24"/>
      <w:szCs w:val="24"/>
    </w:rPr>
  </w:style>
  <w:style w:type="paragraph" w:customStyle="1" w:styleId="6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5">
    <w:name w:val="标题 2 居中"/>
    <w:basedOn w:val="3"/>
    <w:qFormat/>
    <w:uiPriority w:val="0"/>
    <w:pPr>
      <w:jc w:val="center"/>
    </w:pPr>
    <w:rPr>
      <w:rFonts w:ascii="宋体" w:hAnsi="宋体"/>
    </w:rPr>
  </w:style>
  <w:style w:type="paragraph" w:customStyle="1" w:styleId="66">
    <w:name w:val="表格居中"/>
    <w:basedOn w:val="1"/>
    <w:qFormat/>
    <w:uiPriority w:val="0"/>
    <w:pPr>
      <w:autoSpaceDE/>
      <w:autoSpaceDN/>
      <w:adjustRightInd/>
      <w:snapToGrid w:val="0"/>
      <w:spacing w:line="240" w:lineRule="auto"/>
      <w:jc w:val="center"/>
      <w:textAlignment w:val="auto"/>
    </w:pPr>
    <w:rPr>
      <w:kern w:val="2"/>
    </w:rPr>
  </w:style>
  <w:style w:type="paragraph" w:customStyle="1" w:styleId="67">
    <w:name w:val="正文1"/>
    <w:basedOn w:val="1"/>
    <w:qFormat/>
    <w:uiPriority w:val="0"/>
    <w:pPr>
      <w:autoSpaceDE/>
      <w:autoSpaceDN/>
      <w:spacing w:line="360" w:lineRule="atLeast"/>
      <w:jc w:val="left"/>
    </w:pPr>
    <w:rPr>
      <w:rFonts w:ascii="宋体"/>
      <w:sz w:val="24"/>
    </w:rPr>
  </w:style>
  <w:style w:type="paragraph" w:customStyle="1" w:styleId="6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69">
    <w:name w:val="No Spacing"/>
    <w:qFormat/>
    <w:uiPriority w:val="1"/>
    <w:pPr>
      <w:widowControl w:val="0"/>
      <w:autoSpaceDE w:val="0"/>
      <w:autoSpaceDN w:val="0"/>
      <w:adjustRightInd w:val="0"/>
      <w:jc w:val="both"/>
      <w:textAlignment w:val="baseline"/>
    </w:pPr>
    <w:rPr>
      <w:rFonts w:ascii="Times New Roman" w:hAnsi="Times New Roman" w:eastAsia="宋体" w:cs="Times New Roman"/>
      <w:kern w:val="0"/>
      <w:sz w:val="21"/>
      <w:szCs w:val="20"/>
      <w:lang w:val="en-US" w:eastAsia="zh-CN" w:bidi="ar-SA"/>
    </w:rPr>
  </w:style>
  <w:style w:type="paragraph" w:customStyle="1" w:styleId="70">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71">
    <w:name w:val="Char Char Char Char Char Char Char Char Char Char Char Char Char Char"/>
    <w:basedOn w:val="1"/>
    <w:uiPriority w:val="0"/>
    <w:pPr>
      <w:spacing w:line="360" w:lineRule="auto"/>
      <w:ind w:firstLine="200" w:firstLineChars="200"/>
    </w:pPr>
  </w:style>
  <w:style w:type="paragraph" w:customStyle="1" w:styleId="72">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7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4">
    <w:name w:val="_Style 37"/>
    <w:basedOn w:val="1"/>
    <w:next w:val="1"/>
    <w:qFormat/>
    <w:uiPriority w:val="0"/>
    <w:pPr>
      <w:spacing w:before="120" w:line="360" w:lineRule="atLeast"/>
      <w:ind w:left="372" w:leftChars="155" w:right="132" w:rightChars="55" w:firstLine="600"/>
      <w:jc w:val="left"/>
    </w:pPr>
    <w:rPr>
      <w:rFonts w:ascii="宋体"/>
      <w:sz w:val="24"/>
    </w:rPr>
  </w:style>
  <w:style w:type="paragraph" w:customStyle="1" w:styleId="75">
    <w:name w:val="样式1"/>
    <w:basedOn w:val="1"/>
    <w:qFormat/>
    <w:uiPriority w:val="0"/>
    <w:pPr>
      <w:autoSpaceDE/>
      <w:autoSpaceDN/>
      <w:spacing w:line="420" w:lineRule="auto"/>
      <w:jc w:val="center"/>
    </w:pPr>
    <w:rPr>
      <w:rFonts w:ascii="宋体"/>
      <w:sz w:val="24"/>
    </w:rPr>
  </w:style>
  <w:style w:type="paragraph" w:customStyle="1" w:styleId="76">
    <w:name w:val="Char1"/>
    <w:basedOn w:val="1"/>
    <w:qFormat/>
    <w:uiPriority w:val="0"/>
    <w:pPr>
      <w:autoSpaceDE/>
      <w:autoSpaceDN/>
      <w:adjustRightInd/>
      <w:spacing w:line="240" w:lineRule="auto"/>
      <w:textAlignment w:val="auto"/>
    </w:pPr>
    <w:rPr>
      <w:kern w:val="2"/>
      <w:szCs w:val="21"/>
    </w:rPr>
  </w:style>
  <w:style w:type="paragraph" w:styleId="77">
    <w:name w:val="List Paragraph"/>
    <w:basedOn w:val="1"/>
    <w:qFormat/>
    <w:uiPriority w:val="34"/>
    <w:pPr>
      <w:ind w:firstLine="420" w:firstLineChars="200"/>
    </w:pPr>
  </w:style>
  <w:style w:type="paragraph" w:customStyle="1" w:styleId="78">
    <w:name w:val="Table Paragraph"/>
    <w:basedOn w:val="1"/>
    <w:qFormat/>
    <w:uiPriority w:val="1"/>
    <w:pPr>
      <w:spacing w:before="142"/>
      <w:ind w:left="137"/>
    </w:pPr>
    <w:rPr>
      <w:rFonts w:ascii="宋体" w:hAnsi="宋体" w:eastAsia="宋体" w:cs="宋体"/>
    </w:rPr>
  </w:style>
  <w:style w:type="paragraph" w:customStyle="1" w:styleId="79">
    <w:name w:val="p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13310</Words>
  <Characters>13835</Characters>
  <Lines>99</Lines>
  <Paragraphs>28</Paragraphs>
  <TotalTime>37</TotalTime>
  <ScaleCrop>false</ScaleCrop>
  <LinksUpToDate>false</LinksUpToDate>
  <CharactersWithSpaces>15210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2022-06-18T15:37:00Z</dcterms:created>
  <dc:creator>Yang</dc:creator>
  <cp:lastModifiedBy>Administrator</cp:lastModifiedBy>
  <dcterms:modified xsi:type="dcterms:W3CDTF">2022-07-13T08:21:06Z</dcterms:modified>
  <dc:title>水平衡测试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D7198ABC1BD74A589B9472711B034ED7</vt:lpwstr>
  </property>
</Properties>
</file>