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eastAsia="文鼎粗行楷体简"/>
          <w:b/>
          <w:kern w:val="2"/>
          <w:sz w:val="48"/>
          <w:szCs w:val="48"/>
          <w:highlight w:val="none"/>
        </w:rPr>
      </w:pPr>
    </w:p>
    <w:p>
      <w:pPr>
        <w:kinsoku w:val="0"/>
        <w:overflowPunct w:val="0"/>
        <w:adjustRightInd/>
        <w:spacing w:line="400" w:lineRule="atLeast"/>
        <w:textAlignment w:val="auto"/>
        <w:rPr>
          <w:rFonts w:eastAsia="文鼎粗行楷体简"/>
          <w:b/>
          <w:kern w:val="2"/>
          <w:sz w:val="48"/>
          <w:szCs w:val="48"/>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厦门海发环保能源股份有限公司</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新阳热电事业部</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锅炉汽水系统管道及主蒸汽阀门更换项目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竞争性谈判文件</w:t>
      </w: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snapToGrid w:val="0"/>
        <w:spacing w:line="440" w:lineRule="atLeast"/>
        <w:jc w:val="center"/>
        <w:textAlignment w:val="auto"/>
        <w:rPr>
          <w:rFonts w:hint="default" w:ascii="宋体" w:hAnsi="宋体" w:eastAsia="宋体" w:cs="宋体"/>
          <w:b/>
          <w:kern w:val="2"/>
          <w:sz w:val="32"/>
          <w:szCs w:val="22"/>
          <w:highlight w:val="none"/>
          <w:lang w:val="en-US" w:eastAsia="zh-CN"/>
        </w:rPr>
      </w:pPr>
      <w:r>
        <w:rPr>
          <w:rFonts w:hint="eastAsia"/>
          <w:kern w:val="2"/>
          <w:sz w:val="32"/>
          <w:szCs w:val="32"/>
          <w:highlight w:val="none"/>
        </w:rPr>
        <w:t>项目编号：HFHN-XY2022-0</w:t>
      </w:r>
      <w:r>
        <w:rPr>
          <w:rFonts w:hint="eastAsia"/>
          <w:kern w:val="2"/>
          <w:sz w:val="32"/>
          <w:szCs w:val="32"/>
          <w:highlight w:val="none"/>
          <w:lang w:val="en-US" w:eastAsia="zh-CN"/>
        </w:rPr>
        <w:t>32</w:t>
      </w:r>
    </w:p>
    <w:p>
      <w:pPr>
        <w:kinsoku w:val="0"/>
        <w:overflowPunct w:val="0"/>
        <w:snapToGrid w:val="0"/>
        <w:spacing w:line="440" w:lineRule="atLeast"/>
        <w:jc w:val="center"/>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400" w:lineRule="atLeast"/>
        <w:ind w:firstLine="2249" w:firstLineChars="700"/>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0"/>
        </w:tabs>
        <w:snapToGrid w:val="0"/>
        <w:spacing w:line="400" w:lineRule="atLeast"/>
        <w:jc w:val="left"/>
        <w:textAlignment w:val="auto"/>
        <w:rPr>
          <w:rFonts w:ascii="宋体" w:hAnsi="宋体"/>
          <w:sz w:val="24"/>
          <w:szCs w:val="24"/>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620" w:lineRule="atLeast"/>
        <w:jc w:val="center"/>
        <w:textAlignment w:val="auto"/>
        <w:rPr>
          <w:rFonts w:ascii="宋体" w:hAnsi="宋体" w:cs="宋体"/>
          <w:b/>
          <w:bCs/>
          <w:kern w:val="2"/>
          <w:sz w:val="35"/>
          <w:szCs w:val="35"/>
          <w:highlight w:val="none"/>
        </w:rPr>
      </w:pPr>
      <w:r>
        <w:rPr>
          <w:rFonts w:hint="eastAsia" w:ascii="宋体" w:hAnsi="宋体" w:cs="宋体"/>
          <w:b/>
          <w:bCs/>
          <w:kern w:val="2"/>
          <w:sz w:val="35"/>
          <w:szCs w:val="35"/>
          <w:highlight w:val="none"/>
        </w:rPr>
        <w:t>厦门海发环保能源股份有限公司</w:t>
      </w:r>
    </w:p>
    <w:p>
      <w:pPr>
        <w:kinsoku w:val="0"/>
        <w:overflowPunct w:val="0"/>
        <w:adjustRightInd/>
        <w:spacing w:line="620" w:lineRule="atLeast"/>
        <w:jc w:val="center"/>
        <w:rPr>
          <w:rFonts w:ascii="宋体" w:hAnsi="宋体" w:cs="宋体"/>
          <w:bCs/>
          <w:sz w:val="29"/>
          <w:szCs w:val="29"/>
          <w:highlight w:val="none"/>
        </w:rPr>
        <w:sectPr>
          <w:footerReference r:id="rId8" w:type="first"/>
          <w:footerReference r:id="rId6" w:type="default"/>
          <w:headerReference r:id="rId5" w:type="even"/>
          <w:footerReference r:id="rId7" w:type="even"/>
          <w:pgSz w:w="11906" w:h="16838"/>
          <w:pgMar w:top="1417" w:right="1417" w:bottom="1134" w:left="1417" w:header="794" w:footer="794" w:gutter="0"/>
          <w:pgNumType w:start="1"/>
          <w:cols w:space="720" w:num="1"/>
          <w:docGrid w:linePitch="312" w:charSpace="0"/>
        </w:sectPr>
      </w:pPr>
      <w:r>
        <w:rPr>
          <w:rFonts w:hint="eastAsia" w:ascii="宋体" w:hAnsi="宋体" w:cs="宋体"/>
          <w:b/>
          <w:bCs/>
          <w:kern w:val="2"/>
          <w:sz w:val="35"/>
          <w:szCs w:val="35"/>
          <w:highlight w:val="none"/>
        </w:rPr>
        <w:t>202</w:t>
      </w:r>
      <w:r>
        <w:rPr>
          <w:rFonts w:ascii="宋体" w:hAnsi="宋体" w:cs="宋体"/>
          <w:b/>
          <w:bCs/>
          <w:kern w:val="2"/>
          <w:sz w:val="35"/>
          <w:szCs w:val="35"/>
          <w:highlight w:val="none"/>
        </w:rPr>
        <w:t>2</w:t>
      </w:r>
      <w:r>
        <w:rPr>
          <w:rFonts w:hint="eastAsia" w:ascii="宋体" w:hAnsi="宋体" w:cs="宋体"/>
          <w:b/>
          <w:bCs/>
          <w:kern w:val="2"/>
          <w:sz w:val="35"/>
          <w:szCs w:val="35"/>
          <w:highlight w:val="none"/>
        </w:rPr>
        <w:t>年1</w:t>
      </w:r>
      <w:r>
        <w:rPr>
          <w:rFonts w:hint="eastAsia" w:ascii="宋体" w:hAnsi="宋体" w:cs="宋体"/>
          <w:b/>
          <w:bCs/>
          <w:kern w:val="2"/>
          <w:sz w:val="35"/>
          <w:szCs w:val="35"/>
          <w:highlight w:val="none"/>
          <w:lang w:val="en-US" w:eastAsia="zh-CN"/>
        </w:rPr>
        <w:t>2</w:t>
      </w:r>
      <w:r>
        <w:rPr>
          <w:rFonts w:hint="eastAsia" w:ascii="宋体" w:hAnsi="宋体" w:cs="宋体"/>
          <w:b/>
          <w:bCs/>
          <w:kern w:val="2"/>
          <w:sz w:val="35"/>
          <w:szCs w:val="35"/>
          <w:highlight w:val="none"/>
        </w:rPr>
        <w:t>月</w:t>
      </w: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highlight w:val="none"/>
        </w:rPr>
      </w:pPr>
      <w:bookmarkStart w:id="0" w:name="_Toc21029_WPSOffice_Level1"/>
      <w:bookmarkStart w:id="1" w:name="_Toc8263_WPSOffice_Level1"/>
      <w:bookmarkStart w:id="2" w:name="_Toc15109_WPSOffice_Level1"/>
      <w:bookmarkStart w:id="3" w:name="_Toc4413_WPSOffice_Level1"/>
      <w:bookmarkStart w:id="4" w:name="_Toc4629_WPSOffice_Level1"/>
      <w:r>
        <w:rPr>
          <w:rFonts w:hint="eastAsia" w:ascii="宋体" w:hAnsi="宋体" w:eastAsia="宋体"/>
          <w:bCs/>
          <w:sz w:val="28"/>
          <w:szCs w:val="28"/>
          <w:highlight w:val="none"/>
        </w:rPr>
        <w:t>第一部分 采购邀请书</w:t>
      </w:r>
      <w:bookmarkEnd w:id="0"/>
      <w:bookmarkEnd w:id="1"/>
      <w:bookmarkEnd w:id="2"/>
      <w:bookmarkEnd w:id="3"/>
      <w:bookmarkEnd w:id="4"/>
    </w:p>
    <w:p>
      <w:pPr>
        <w:pStyle w:val="6"/>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highlight w:val="none"/>
        </w:rPr>
      </w:pPr>
      <w:bookmarkStart w:id="5" w:name="_Toc12822_WPSOffice_Level2"/>
      <w:r>
        <w:rPr>
          <w:rFonts w:hint="eastAsia" w:ascii="宋体" w:hAnsi="宋体" w:eastAsia="宋体"/>
          <w:b w:val="0"/>
          <w:sz w:val="24"/>
          <w:szCs w:val="24"/>
          <w:highlight w:val="none"/>
        </w:rPr>
        <w:t>厦门海</w:t>
      </w:r>
      <w:r>
        <w:rPr>
          <w:rFonts w:hint="eastAsia" w:ascii="宋体" w:hAnsi="宋体" w:eastAsia="宋体"/>
          <w:b w:val="0"/>
          <w:bCs/>
          <w:sz w:val="24"/>
          <w:szCs w:val="24"/>
          <w:highlight w:val="none"/>
        </w:rPr>
        <w:t xml:space="preserve">发环保能源股份有限公司对新阳热电事业部 </w:t>
      </w:r>
      <w:r>
        <w:rPr>
          <w:rFonts w:hint="eastAsia" w:ascii="宋体" w:hAnsi="宋体" w:eastAsia="宋体"/>
          <w:b w:val="0"/>
          <w:bCs/>
          <w:sz w:val="24"/>
          <w:szCs w:val="24"/>
          <w:highlight w:val="none"/>
          <w:u w:val="single"/>
        </w:rPr>
        <w:t xml:space="preserve">锅炉汽水系统管道及主蒸汽阀门更换项目 </w:t>
      </w:r>
      <w:r>
        <w:rPr>
          <w:rFonts w:hint="eastAsia" w:ascii="宋体" w:hAnsi="宋体" w:eastAsia="宋体"/>
          <w:b w:val="0"/>
          <w:sz w:val="24"/>
          <w:szCs w:val="24"/>
          <w:highlight w:val="none"/>
        </w:rPr>
        <w:t>进行竞争性谈判采购，欢迎具备相应资质的合格供应商参与本项目的报价。</w:t>
      </w:r>
    </w:p>
    <w:bookmarkEnd w:id="5"/>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bookmarkStart w:id="6" w:name="_Toc8150_WPSOffice_Level2"/>
      <w:bookmarkStart w:id="7" w:name="_Toc12893_WPSOffice_Level2"/>
      <w:bookmarkStart w:id="8" w:name="_Toc17676_WPSOffice_Level2"/>
      <w:bookmarkStart w:id="9" w:name="_Toc14515_WPSOffice_Level2"/>
      <w:bookmarkStart w:id="10" w:name="_Toc15058_WPSOffice_Level2"/>
      <w:r>
        <w:rPr>
          <w:rFonts w:hint="eastAsia" w:ascii="宋体" w:hAnsi="Calibri" w:cs="宋体"/>
          <w:b/>
          <w:bCs/>
          <w:color w:val="000000"/>
          <w:sz w:val="24"/>
          <w:szCs w:val="24"/>
          <w:highlight w:val="none"/>
        </w:rPr>
        <w:t>项目概况</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项目名称：</w:t>
      </w:r>
      <w:r>
        <w:rPr>
          <w:rFonts w:hint="eastAsia" w:ascii="宋体" w:hAnsi="宋体"/>
          <w:bCs/>
          <w:sz w:val="24"/>
          <w:szCs w:val="24"/>
          <w:highlight w:val="none"/>
        </w:rPr>
        <w:t>锅炉汽水系统管道及主蒸汽阀门更换项目</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项目地点：厦门海发环保能源股份有限公司厂内</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资金来源：国有企业自筹资金</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项目内容：</w:t>
      </w:r>
      <w:r>
        <w:rPr>
          <w:rFonts w:hint="eastAsia" w:ascii="宋体" w:hAnsi="宋体" w:cs="宋体"/>
          <w:sz w:val="24"/>
          <w:szCs w:val="24"/>
          <w:highlight w:val="none"/>
        </w:rPr>
        <w:t>按谈判文件及图纸要求，</w:t>
      </w:r>
      <w:r>
        <w:rPr>
          <w:rFonts w:hint="eastAsia" w:ascii="宋体" w:hAnsi="宋体"/>
          <w:sz w:val="24"/>
          <w:szCs w:val="24"/>
          <w:highlight w:val="none"/>
        </w:rPr>
        <w:t>报价方负责以下施工内容：</w:t>
      </w:r>
    </w:p>
    <w:p>
      <w:pPr>
        <w:pStyle w:val="81"/>
        <w:numPr>
          <w:ilvl w:val="0"/>
          <w:numId w:val="3"/>
        </w:numPr>
        <w:autoSpaceDE/>
        <w:autoSpaceDN/>
        <w:adjustRightInd/>
        <w:spacing w:line="400" w:lineRule="atLeast"/>
        <w:ind w:left="0" w:leftChars="0" w:firstLine="0" w:firstLineChars="0"/>
        <w:textAlignment w:val="auto"/>
        <w:rPr>
          <w:rFonts w:hint="eastAsia" w:ascii="宋体" w:hAnsi="Calibri" w:cs="宋体"/>
          <w:color w:val="000000"/>
          <w:sz w:val="24"/>
          <w:szCs w:val="24"/>
          <w:highlight w:val="none"/>
        </w:rPr>
      </w:pPr>
      <w:r>
        <w:rPr>
          <w:rFonts w:hint="eastAsia" w:ascii="宋体" w:hAnsi="Calibri" w:cs="宋体"/>
          <w:color w:val="000000"/>
          <w:sz w:val="24"/>
          <w:szCs w:val="24"/>
          <w:highlight w:val="none"/>
        </w:rPr>
        <w:t>三台锅炉汽水系统管道（给水管道、减温水管道、再循环水管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hint="eastAsia" w:ascii="宋体" w:hAnsi="Calibri" w:cs="宋体"/>
          <w:color w:val="000000"/>
          <w:sz w:val="24"/>
          <w:szCs w:val="24"/>
          <w:highlight w:val="none"/>
        </w:rPr>
        <w:t>）更换，其中包含流量计、温度、压力测点</w:t>
      </w:r>
      <w:r>
        <w:rPr>
          <w:rFonts w:hint="eastAsia" w:ascii="宋体" w:hAnsi="Calibri" w:cs="宋体"/>
          <w:color w:val="000000"/>
          <w:sz w:val="24"/>
          <w:szCs w:val="24"/>
          <w:highlight w:val="none"/>
          <w:lang w:val="en-US" w:eastAsia="zh-CN"/>
        </w:rPr>
        <w:t>拆除安装恢复</w:t>
      </w:r>
      <w:r>
        <w:rPr>
          <w:rFonts w:hint="eastAsia" w:ascii="宋体" w:hAnsi="Calibri" w:cs="宋体"/>
          <w:color w:val="000000"/>
          <w:sz w:val="24"/>
          <w:szCs w:val="24"/>
          <w:highlight w:val="none"/>
          <w:lang w:eastAsia="zh-CN"/>
        </w:rPr>
        <w:t>。</w:t>
      </w:r>
    </w:p>
    <w:p>
      <w:pPr>
        <w:pStyle w:val="81"/>
        <w:numPr>
          <w:ilvl w:val="0"/>
          <w:numId w:val="3"/>
        </w:numPr>
        <w:autoSpaceDE/>
        <w:autoSpaceDN/>
        <w:adjustRightInd/>
        <w:spacing w:line="400" w:lineRule="atLeast"/>
        <w:ind w:left="0" w:leftChars="0" w:firstLine="0" w:firstLineChars="0"/>
        <w:textAlignment w:val="auto"/>
        <w:rPr>
          <w:rFonts w:hint="eastAsia" w:ascii="宋体" w:hAnsi="Calibri" w:cs="宋体"/>
          <w:color w:val="000000"/>
          <w:sz w:val="24"/>
          <w:szCs w:val="24"/>
          <w:highlight w:val="none"/>
        </w:rPr>
      </w:pPr>
      <w:r>
        <w:rPr>
          <w:rFonts w:hint="eastAsia" w:ascii="宋体" w:hAnsi="Calibri" w:cs="宋体"/>
          <w:color w:val="000000"/>
          <w:sz w:val="24"/>
          <w:szCs w:val="24"/>
          <w:highlight w:val="none"/>
        </w:rPr>
        <w:t>三台锅炉出口隔离阀</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rPr>
        <w:t>I、II段主蒸汽母管联络阀更换等，其中包含旁路阀、疏水阀</w:t>
      </w:r>
      <w:r>
        <w:rPr>
          <w:rFonts w:hint="eastAsia" w:ascii="宋体" w:hAnsi="Calibri" w:cs="宋体"/>
          <w:color w:val="000000"/>
          <w:sz w:val="24"/>
          <w:szCs w:val="24"/>
          <w:highlight w:val="none"/>
          <w:lang w:val="en-US" w:eastAsia="zh-CN"/>
        </w:rPr>
        <w:t>及其管道</w:t>
      </w:r>
      <w:r>
        <w:rPr>
          <w:rFonts w:hint="eastAsia" w:ascii="宋体" w:hAnsi="Calibri" w:cs="宋体"/>
          <w:color w:val="000000"/>
          <w:sz w:val="24"/>
          <w:szCs w:val="24"/>
          <w:highlight w:val="none"/>
        </w:rPr>
        <w:t>更换（需在2023年春节机组停运检修期间更换）。</w:t>
      </w:r>
    </w:p>
    <w:p>
      <w:pPr>
        <w:pStyle w:val="81"/>
        <w:tabs>
          <w:tab w:val="left" w:pos="0"/>
        </w:tabs>
        <w:autoSpaceDE/>
        <w:autoSpaceDN/>
        <w:adjustRightInd/>
        <w:spacing w:line="400" w:lineRule="atLeast"/>
        <w:ind w:firstLine="480"/>
        <w:textAlignment w:val="auto"/>
        <w:rPr>
          <w:rFonts w:ascii="宋体" w:hAnsi="宋体" w:cs="宋体"/>
          <w:sz w:val="24"/>
          <w:szCs w:val="24"/>
          <w:highlight w:val="none"/>
        </w:rPr>
      </w:pPr>
      <w:r>
        <w:rPr>
          <w:rFonts w:hint="eastAsia" w:ascii="宋体" w:hAnsi="宋体" w:cs="宋体"/>
          <w:sz w:val="24"/>
          <w:szCs w:val="24"/>
          <w:highlight w:val="none"/>
        </w:rPr>
        <w:t>本项目更换管道、阀门、大小头由采购方提供。工程施工范围内所涉及的脚手架搭拆、保温（材料、拆除及恢复）及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。施工之前</w:t>
      </w:r>
      <w:r>
        <w:rPr>
          <w:rFonts w:hint="eastAsia" w:ascii="宋体" w:hAnsi="宋体" w:cs="宋体"/>
          <w:bCs/>
          <w:sz w:val="24"/>
          <w:szCs w:val="24"/>
          <w:highlight w:val="none"/>
        </w:rPr>
        <w:t>报价方</w:t>
      </w:r>
      <w:r>
        <w:rPr>
          <w:rFonts w:hint="eastAsia" w:ascii="宋体" w:hAnsi="宋体"/>
          <w:sz w:val="24"/>
          <w:szCs w:val="24"/>
          <w:highlight w:val="none"/>
        </w:rPr>
        <w:t>需向厦门特检院按相关规定办理压力管道安装、维修告知等手续，改造范围内的环焊缝必须进行100%射线检验（无法进行射线检测的改为超声波检测），角焊缝进行100%磁粉检测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无损检测费用由报价方负责</w:t>
      </w:r>
      <w:r>
        <w:rPr>
          <w:rFonts w:hint="eastAsia" w:ascii="宋体" w:hAnsi="宋体"/>
          <w:sz w:val="24"/>
          <w:szCs w:val="24"/>
          <w:highlight w:val="none"/>
          <w:lang w:eastAsia="zh-CN"/>
        </w:rPr>
        <w:t>）。</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负责将施工范围内拆除下来的管道、阀门等施工废料统一运至采购方厂区指定位置堆放。施工结束后清理现场，清运施工垃圾，做到工完料净场地清。</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工期要求：</w:t>
      </w:r>
      <w:bookmarkStart w:id="11" w:name="OLE_LINK2"/>
      <w:r>
        <w:rPr>
          <w:rFonts w:hint="eastAsia" w:ascii="宋体" w:hAnsi="宋体"/>
          <w:bCs/>
          <w:sz w:val="24"/>
          <w:szCs w:val="24"/>
          <w:highlight w:val="none"/>
        </w:rPr>
        <w:t>合同签订生效后，本项目分两阶段进行施工。</w:t>
      </w:r>
    </w:p>
    <w:p>
      <w:pPr>
        <w:pStyle w:val="81"/>
        <w:numPr>
          <w:ilvl w:val="0"/>
          <w:numId w:val="4"/>
        </w:numPr>
        <w:autoSpaceDE/>
        <w:autoSpaceDN/>
        <w:adjustRightInd/>
        <w:spacing w:line="400" w:lineRule="atLeast"/>
        <w:ind w:left="0" w:leftChars="0" w:firstLine="0" w:firstLineChars="0"/>
        <w:textAlignment w:val="auto"/>
        <w:rPr>
          <w:rFonts w:hint="eastAsia" w:ascii="宋体" w:hAnsi="Calibri" w:cs="宋体"/>
          <w:color w:val="000000"/>
          <w:sz w:val="24"/>
          <w:szCs w:val="24"/>
          <w:highlight w:val="none"/>
        </w:rPr>
      </w:pPr>
      <w:r>
        <w:rPr>
          <w:rFonts w:hint="eastAsia" w:ascii="宋体" w:hAnsi="Calibri" w:cs="宋体"/>
          <w:color w:val="000000"/>
          <w:sz w:val="24"/>
          <w:szCs w:val="24"/>
          <w:highlight w:val="none"/>
        </w:rPr>
        <w:t>采购方根据实际生产情况安排三台锅炉汽水系统管道（给水管道、减温水管道、再循环水管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hint="eastAsia" w:ascii="宋体" w:hAnsi="Calibri" w:cs="宋体"/>
          <w:color w:val="000000"/>
          <w:sz w:val="24"/>
          <w:szCs w:val="24"/>
          <w:highlight w:val="none"/>
        </w:rPr>
        <w:t>）更换，其中包含流量计、温度、压力测点</w:t>
      </w:r>
      <w:r>
        <w:rPr>
          <w:rFonts w:hint="eastAsia" w:ascii="宋体" w:hAnsi="Calibri" w:cs="宋体"/>
          <w:color w:val="000000"/>
          <w:sz w:val="24"/>
          <w:szCs w:val="24"/>
          <w:highlight w:val="none"/>
          <w:lang w:eastAsia="zh-CN"/>
        </w:rPr>
        <w:t>拆除安装恢复</w:t>
      </w:r>
      <w:r>
        <w:rPr>
          <w:rFonts w:hint="eastAsia" w:ascii="宋体" w:hAnsi="Calibri" w:cs="宋体"/>
          <w:color w:val="000000"/>
          <w:sz w:val="24"/>
          <w:szCs w:val="24"/>
          <w:highlight w:val="none"/>
        </w:rPr>
        <w:t>；报价方接采购方通知后，每台锅炉施工工期从开工日起7天内完成工程范围内全部工作内容，使设备具备投运条件。</w:t>
      </w:r>
    </w:p>
    <w:p>
      <w:pPr>
        <w:pStyle w:val="81"/>
        <w:numPr>
          <w:ilvl w:val="0"/>
          <w:numId w:val="4"/>
        </w:numPr>
        <w:autoSpaceDE/>
        <w:autoSpaceDN/>
        <w:adjustRightInd/>
        <w:spacing w:line="400" w:lineRule="atLeast"/>
        <w:ind w:left="0" w:leftChars="0" w:firstLine="0" w:firstLineChars="0"/>
        <w:textAlignment w:val="auto"/>
        <w:rPr>
          <w:rFonts w:hint="eastAsia" w:ascii="宋体" w:hAnsi="Calibri" w:cs="宋体"/>
          <w:color w:val="000000"/>
          <w:sz w:val="24"/>
          <w:szCs w:val="24"/>
          <w:highlight w:val="none"/>
        </w:rPr>
      </w:pPr>
      <w:r>
        <w:rPr>
          <w:rFonts w:hint="eastAsia" w:ascii="宋体" w:hAnsi="Calibri" w:cs="宋体"/>
          <w:color w:val="000000"/>
          <w:sz w:val="24"/>
          <w:szCs w:val="24"/>
          <w:highlight w:val="none"/>
        </w:rPr>
        <w:t>三台锅炉出口隔离阀</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rPr>
        <w:t>I、II段主蒸汽母管联络阀更换等，其中包含旁路阀、疏水阀</w:t>
      </w:r>
      <w:r>
        <w:rPr>
          <w:rFonts w:hint="eastAsia" w:ascii="宋体" w:hAnsi="Calibri" w:cs="宋体"/>
          <w:color w:val="000000"/>
          <w:sz w:val="24"/>
          <w:szCs w:val="24"/>
          <w:highlight w:val="none"/>
          <w:lang w:val="en-US" w:eastAsia="zh-CN"/>
        </w:rPr>
        <w:t>及其管道</w:t>
      </w:r>
      <w:r>
        <w:rPr>
          <w:rFonts w:hint="eastAsia" w:ascii="宋体" w:hAnsi="Calibri" w:cs="宋体"/>
          <w:color w:val="000000"/>
          <w:sz w:val="24"/>
          <w:szCs w:val="24"/>
          <w:highlight w:val="none"/>
        </w:rPr>
        <w:t>更换</w:t>
      </w:r>
      <w:bookmarkEnd w:id="11"/>
      <w:r>
        <w:rPr>
          <w:rFonts w:hint="eastAsia" w:ascii="宋体" w:hAnsi="Calibri" w:cs="宋体"/>
          <w:color w:val="000000"/>
          <w:sz w:val="24"/>
          <w:szCs w:val="24"/>
          <w:highlight w:val="none"/>
        </w:rPr>
        <w:t>。报价方接采购方通知后，5天内完成工程范围内全部工作内容，使设备具备投运条件。本项目工程可停运设备供报价方施工在2023年春节期间，因此报价方需提前做好开工前准备工作，确保工作有序、按期完成，不影响采购方正常计划生产时间。</w:t>
      </w:r>
    </w:p>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报价方资格要求</w:t>
      </w:r>
    </w:p>
    <w:p>
      <w:pPr>
        <w:pStyle w:val="81"/>
        <w:numPr>
          <w:ilvl w:val="0"/>
          <w:numId w:val="5"/>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响应谈判文件、参加报价竞争的中华人民共和国境内的企业法人，且具有独立订立合同的权力，提供营业执照复印件并加盖公章。</w:t>
      </w:r>
    </w:p>
    <w:p>
      <w:pPr>
        <w:pStyle w:val="81"/>
        <w:numPr>
          <w:ilvl w:val="0"/>
          <w:numId w:val="5"/>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报价方提供法定代表人身份证明书，若非企业法定代表人签字报价需提交法人授权委托书。</w:t>
      </w:r>
    </w:p>
    <w:p>
      <w:pPr>
        <w:pStyle w:val="81"/>
        <w:numPr>
          <w:ilvl w:val="0"/>
          <w:numId w:val="5"/>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宋体"/>
          <w:b/>
          <w:bCs/>
          <w:sz w:val="24"/>
          <w:szCs w:val="24"/>
          <w:highlight w:val="none"/>
        </w:rPr>
        <w:t>报价方须具备有效的国家行政主管部门颁发的GC2、</w:t>
      </w:r>
      <w:r>
        <w:rPr>
          <w:rFonts w:hint="eastAsia" w:ascii="宋体" w:hAnsi="宋体"/>
          <w:b/>
          <w:bCs/>
          <w:sz w:val="24"/>
          <w:szCs w:val="24"/>
          <w:highlight w:val="none"/>
          <w:lang w:val="en-US" w:eastAsia="zh-CN"/>
        </w:rPr>
        <w:t>GCD(GD1)</w:t>
      </w:r>
      <w:r>
        <w:rPr>
          <w:rFonts w:hint="eastAsia" w:ascii="宋体" w:hAnsi="宋体"/>
          <w:b/>
          <w:bCs/>
          <w:sz w:val="24"/>
          <w:szCs w:val="24"/>
          <w:highlight w:val="none"/>
        </w:rPr>
        <w:t>压力管道安装、维修资质，</w:t>
      </w:r>
      <w:r>
        <w:rPr>
          <w:rFonts w:hint="eastAsia" w:ascii="宋体" w:hAnsi="宋体"/>
          <w:b/>
          <w:color w:val="000000"/>
          <w:sz w:val="24"/>
          <w:highlight w:val="none"/>
        </w:rPr>
        <w:t>锅炉安装维修一级许可证资质</w:t>
      </w:r>
      <w:r>
        <w:rPr>
          <w:rFonts w:hint="eastAsia" w:ascii="宋体" w:hAnsi="宋体"/>
          <w:b/>
          <w:bCs/>
          <w:sz w:val="24"/>
          <w:szCs w:val="24"/>
          <w:highlight w:val="none"/>
        </w:rPr>
        <w:t>，提供资质证书复印件并加盖公章</w:t>
      </w:r>
      <w:r>
        <w:rPr>
          <w:rFonts w:hint="eastAsia" w:ascii="宋体" w:hAnsi="Calibri" w:cs="宋体"/>
          <w:b/>
          <w:bCs/>
          <w:color w:val="000000"/>
          <w:sz w:val="24"/>
          <w:szCs w:val="24"/>
          <w:highlight w:val="none"/>
        </w:rPr>
        <w:t>。</w:t>
      </w:r>
    </w:p>
    <w:p>
      <w:pPr>
        <w:pStyle w:val="81"/>
        <w:numPr>
          <w:ilvl w:val="0"/>
          <w:numId w:val="5"/>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提供自</w:t>
      </w:r>
      <w:r>
        <w:rPr>
          <w:rFonts w:hint="eastAsia" w:ascii="宋体" w:hAnsi="宋体" w:cs="仿宋_GB2312"/>
          <w:b/>
          <w:bCs/>
          <w:sz w:val="24"/>
          <w:szCs w:val="24"/>
          <w:highlight w:val="none"/>
        </w:rPr>
        <w:t>2019年1月1日起至投标截止日期，报价方必须具备国内不少于</w:t>
      </w:r>
      <w:r>
        <w:rPr>
          <w:rFonts w:hint="eastAsia" w:ascii="宋体" w:hAnsi="宋体" w:cs="仿宋_GB2312"/>
          <w:b/>
          <w:bCs/>
          <w:sz w:val="24"/>
          <w:szCs w:val="24"/>
          <w:highlight w:val="none"/>
          <w:lang w:val="en-US" w:eastAsia="zh-CN"/>
        </w:rPr>
        <w:t>2份</w:t>
      </w:r>
      <w:r>
        <w:rPr>
          <w:rFonts w:hint="eastAsia" w:ascii="宋体" w:hAnsi="宋体"/>
          <w:b/>
          <w:bCs/>
          <w:sz w:val="24"/>
          <w:szCs w:val="24"/>
          <w:highlight w:val="none"/>
        </w:rPr>
        <w:t>G</w:t>
      </w:r>
      <w:r>
        <w:rPr>
          <w:rFonts w:hint="eastAsia" w:ascii="宋体" w:hAnsi="宋体"/>
          <w:b/>
          <w:bCs/>
          <w:sz w:val="24"/>
          <w:szCs w:val="24"/>
          <w:highlight w:val="none"/>
          <w:lang w:val="en-US" w:eastAsia="zh-CN"/>
        </w:rPr>
        <w:t>CD(GD1)</w:t>
      </w:r>
      <w:r>
        <w:rPr>
          <w:rFonts w:hint="eastAsia" w:ascii="宋体" w:hAnsi="宋体" w:cs="仿宋_GB2312"/>
          <w:b/>
          <w:bCs/>
          <w:sz w:val="24"/>
          <w:szCs w:val="24"/>
          <w:highlight w:val="none"/>
        </w:rPr>
        <w:t>类管道安装或维修施工业绩，提供合同复印件并加盖公章</w:t>
      </w:r>
      <w:r>
        <w:rPr>
          <w:rFonts w:hint="eastAsia" w:ascii="宋体" w:hAnsi="Calibri" w:cs="宋体"/>
          <w:b/>
          <w:bCs/>
          <w:color w:val="000000"/>
          <w:sz w:val="24"/>
          <w:szCs w:val="24"/>
          <w:highlight w:val="none"/>
        </w:rPr>
        <w:t>。</w:t>
      </w:r>
    </w:p>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报价截止时间</w:t>
      </w:r>
      <w:bookmarkEnd w:id="6"/>
      <w:bookmarkEnd w:id="7"/>
      <w:bookmarkEnd w:id="8"/>
      <w:bookmarkEnd w:id="9"/>
    </w:p>
    <w:bookmarkEnd w:id="10"/>
    <w:p>
      <w:pPr>
        <w:pStyle w:val="81"/>
        <w:numPr>
          <w:ilvl w:val="0"/>
          <w:numId w:val="6"/>
        </w:numPr>
        <w:autoSpaceDE/>
        <w:autoSpaceDN/>
        <w:adjustRightInd/>
        <w:spacing w:line="400" w:lineRule="atLeast"/>
        <w:ind w:firstLineChars="0"/>
        <w:textAlignment w:val="auto"/>
        <w:rPr>
          <w:rFonts w:ascii="宋体" w:hAnsi="Calibri" w:cs="宋体"/>
          <w:color w:val="000000"/>
          <w:sz w:val="24"/>
          <w:szCs w:val="24"/>
          <w:highlight w:val="none"/>
        </w:rPr>
      </w:pPr>
      <w:bookmarkStart w:id="12" w:name="_Toc14762_WPSOffice_Level2"/>
      <w:bookmarkStart w:id="13" w:name="_Toc6408_WPSOffice_Level2"/>
      <w:bookmarkStart w:id="14" w:name="_Toc14062_WPSOffice_Level2"/>
      <w:bookmarkStart w:id="15" w:name="_Toc11729_WPSOffice_Level2"/>
      <w:bookmarkStart w:id="16" w:name="_Toc11619_WPSOffice_Level2"/>
      <w:r>
        <w:rPr>
          <w:rFonts w:hint="eastAsia" w:ascii="宋体" w:hAnsi="Calibri" w:cs="宋体"/>
          <w:color w:val="000000"/>
          <w:sz w:val="24"/>
          <w:szCs w:val="24"/>
          <w:highlight w:val="none"/>
        </w:rPr>
        <w:t>报价文件</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正、副本各一份）</w:t>
      </w:r>
      <w:r>
        <w:rPr>
          <w:rFonts w:hint="eastAsia" w:ascii="宋体" w:hAnsi="Calibri" w:cs="宋体"/>
          <w:color w:val="000000"/>
          <w:sz w:val="24"/>
          <w:szCs w:val="24"/>
          <w:highlight w:val="none"/>
        </w:rPr>
        <w:t>须于2022年</w:t>
      </w:r>
      <w:r>
        <w:rPr>
          <w:rFonts w:hint="eastAsia" w:ascii="宋体" w:hAnsi="Calibri" w:cs="宋体"/>
          <w:color w:val="000000"/>
          <w:sz w:val="24"/>
          <w:szCs w:val="24"/>
          <w:highlight w:val="none"/>
          <w:lang w:val="en-US" w:eastAsia="zh-CN"/>
        </w:rPr>
        <w:t>12</w:t>
      </w:r>
      <w:r>
        <w:rPr>
          <w:rFonts w:hint="eastAsia" w:ascii="宋体" w:hAnsi="Calibri" w:cs="宋体"/>
          <w:color w:val="000000"/>
          <w:sz w:val="24"/>
          <w:szCs w:val="24"/>
          <w:highlight w:val="none"/>
        </w:rPr>
        <w:t>月</w:t>
      </w:r>
      <w:r>
        <w:rPr>
          <w:rFonts w:hint="eastAsia" w:ascii="宋体" w:hAnsi="Calibri" w:cs="宋体"/>
          <w:color w:val="000000"/>
          <w:sz w:val="24"/>
          <w:szCs w:val="24"/>
          <w:highlight w:val="none"/>
          <w:lang w:val="en-US" w:eastAsia="zh-CN"/>
        </w:rPr>
        <w:t>29</w:t>
      </w:r>
      <w:r>
        <w:rPr>
          <w:rFonts w:hint="eastAsia" w:ascii="宋体" w:hAnsi="Calibri" w:cs="宋体"/>
          <w:color w:val="000000"/>
          <w:sz w:val="24"/>
          <w:szCs w:val="24"/>
          <w:highlight w:val="none"/>
        </w:rPr>
        <w:t>日10:00（北京时间）之前提交到厦门市海沧区阳光西路288号，厦门海发环保能源股份有限公司2楼综合管理办公室。</w:t>
      </w:r>
    </w:p>
    <w:p>
      <w:pPr>
        <w:pStyle w:val="81"/>
        <w:numPr>
          <w:ilvl w:val="0"/>
          <w:numId w:val="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采购方有权拒绝接受迟到的报价文件。</w:t>
      </w:r>
    </w:p>
    <w:p>
      <w:pPr>
        <w:pStyle w:val="81"/>
        <w:numPr>
          <w:ilvl w:val="0"/>
          <w:numId w:val="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报价文件须盖单位公章，所有报价文件装入封袋密封后都必须在封口处盖章，并在密封袋上正确标明报价项目名称、同时加盖公章。</w:t>
      </w:r>
    </w:p>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bookmarkStart w:id="17" w:name="_Toc25278_WPSOffice_Level2"/>
      <w:bookmarkStart w:id="18" w:name="_Toc22931_WPSOffice_Level2"/>
      <w:bookmarkStart w:id="19" w:name="_Toc17410_WPSOffice_Level2"/>
      <w:bookmarkStart w:id="20" w:name="_Toc17981_WPSOffice_Level2"/>
      <w:bookmarkStart w:id="21" w:name="_Toc24072_WPSOffice_Level2"/>
      <w:r>
        <w:rPr>
          <w:rFonts w:hint="eastAsia" w:ascii="宋体" w:hAnsi="Calibri" w:cs="宋体"/>
          <w:b/>
          <w:bCs/>
          <w:color w:val="000000"/>
          <w:sz w:val="24"/>
          <w:szCs w:val="24"/>
          <w:highlight w:val="none"/>
        </w:rPr>
        <w:t>谈判时间和地点</w:t>
      </w:r>
      <w:bookmarkEnd w:id="17"/>
      <w:bookmarkEnd w:id="18"/>
      <w:bookmarkEnd w:id="19"/>
      <w:bookmarkEnd w:id="20"/>
      <w:bookmarkEnd w:id="21"/>
    </w:p>
    <w:p>
      <w:pPr>
        <w:pStyle w:val="81"/>
        <w:numPr>
          <w:ilvl w:val="0"/>
          <w:numId w:val="7"/>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采购方将于2022年</w:t>
      </w:r>
      <w:r>
        <w:rPr>
          <w:rFonts w:hint="eastAsia" w:ascii="宋体" w:hAnsi="Calibri" w:cs="宋体"/>
          <w:color w:val="000000"/>
          <w:sz w:val="24"/>
          <w:szCs w:val="24"/>
          <w:highlight w:val="none"/>
          <w:lang w:val="en-US" w:eastAsia="zh-CN"/>
        </w:rPr>
        <w:t>12</w:t>
      </w:r>
      <w:r>
        <w:rPr>
          <w:rFonts w:hint="eastAsia" w:ascii="宋体" w:hAnsi="Calibri" w:cs="宋体"/>
          <w:color w:val="000000"/>
          <w:sz w:val="24"/>
          <w:szCs w:val="24"/>
          <w:highlight w:val="none"/>
        </w:rPr>
        <w:t>月</w:t>
      </w:r>
      <w:r>
        <w:rPr>
          <w:rFonts w:hint="eastAsia" w:ascii="宋体" w:hAnsi="Calibri" w:cs="宋体"/>
          <w:color w:val="000000"/>
          <w:sz w:val="24"/>
          <w:szCs w:val="24"/>
          <w:highlight w:val="none"/>
          <w:lang w:val="en-US" w:eastAsia="zh-CN"/>
        </w:rPr>
        <w:t>29</w:t>
      </w:r>
      <w:r>
        <w:rPr>
          <w:rFonts w:hint="eastAsia" w:ascii="宋体" w:hAnsi="Calibri" w:cs="宋体"/>
          <w:color w:val="000000"/>
          <w:sz w:val="24"/>
          <w:szCs w:val="24"/>
          <w:highlight w:val="none"/>
        </w:rPr>
        <w:t>日10:00（北京时间），在厦门海发环保能源股份有限公司二楼开标评标室谈判。</w:t>
      </w:r>
    </w:p>
    <w:p>
      <w:pPr>
        <w:pStyle w:val="81"/>
        <w:numPr>
          <w:ilvl w:val="0"/>
          <w:numId w:val="7"/>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谈判时欢迎所有报价方参加谈判会议，报价方代表应签名以证明其出席谈判会议，报价方因故不能派代表出席谈判会议的，视为默认谈判结果。</w:t>
      </w:r>
    </w:p>
    <w:bookmarkEnd w:id="12"/>
    <w:bookmarkEnd w:id="13"/>
    <w:bookmarkEnd w:id="14"/>
    <w:bookmarkEnd w:id="15"/>
    <w:bookmarkEnd w:id="16"/>
    <w:p>
      <w:pPr>
        <w:pStyle w:val="81"/>
        <w:numPr>
          <w:ilvl w:val="0"/>
          <w:numId w:val="8"/>
        </w:numPr>
        <w:autoSpaceDE/>
        <w:autoSpaceDN/>
        <w:adjustRightInd/>
        <w:spacing w:line="400" w:lineRule="atLeast"/>
        <w:ind w:firstLineChars="0"/>
        <w:textAlignment w:val="auto"/>
        <w:rPr>
          <w:rFonts w:ascii="宋体" w:hAnsi="Calibri" w:cs="宋体"/>
          <w:b/>
          <w:bCs/>
          <w:color w:val="000000"/>
          <w:sz w:val="24"/>
          <w:szCs w:val="24"/>
          <w:highlight w:val="none"/>
        </w:rPr>
      </w:pPr>
      <w:bookmarkStart w:id="22" w:name="_Toc4523_WPSOffice_Level2"/>
      <w:bookmarkStart w:id="23" w:name="_Toc20683_WPSOffice_Level2"/>
      <w:bookmarkStart w:id="24" w:name="_Toc18288_WPSOffice_Level2"/>
      <w:bookmarkStart w:id="25" w:name="_Toc11529_WPSOffice_Level2"/>
      <w:bookmarkStart w:id="26" w:name="_Toc7789_WPSOffice_Level2"/>
      <w:r>
        <w:rPr>
          <w:rFonts w:hint="eastAsia" w:ascii="宋体" w:hAnsi="Calibri" w:cs="宋体"/>
          <w:b/>
          <w:bCs/>
          <w:color w:val="000000"/>
          <w:sz w:val="24"/>
          <w:szCs w:val="24"/>
          <w:highlight w:val="none"/>
        </w:rPr>
        <w:t>项目限价</w:t>
      </w:r>
    </w:p>
    <w:p>
      <w:pPr>
        <w:pStyle w:val="6"/>
        <w:keepNext w:val="0"/>
        <w:keepLines w:val="0"/>
        <w:kinsoku w:val="0"/>
        <w:overflowPunct w:val="0"/>
        <w:autoSpaceDE w:val="0"/>
        <w:autoSpaceDN w:val="0"/>
        <w:snapToGrid w:val="0"/>
        <w:spacing w:before="0" w:after="0" w:line="400" w:lineRule="exact"/>
        <w:ind w:firstLine="522" w:firstLineChars="200"/>
        <w:jc w:val="both"/>
        <w:textAlignment w:val="auto"/>
        <w:rPr>
          <w:highlight w:val="none"/>
        </w:rPr>
      </w:pPr>
      <w:r>
        <w:rPr>
          <w:rFonts w:hint="eastAsia" w:ascii="宋体" w:hAnsi="宋体" w:eastAsia="宋体"/>
          <w:bCs/>
          <w:sz w:val="24"/>
          <w:szCs w:val="24"/>
          <w:highlight w:val="none"/>
        </w:rPr>
        <w:t>本项目设最高限价人民币</w:t>
      </w:r>
      <w:r>
        <w:rPr>
          <w:rFonts w:hint="eastAsia" w:ascii="宋体" w:hAnsi="宋体" w:eastAsia="宋体"/>
          <w:bCs/>
          <w:sz w:val="24"/>
          <w:szCs w:val="24"/>
          <w:highlight w:val="none"/>
          <w:lang w:val="en-US" w:eastAsia="zh-CN"/>
        </w:rPr>
        <w:t>36.06</w:t>
      </w:r>
      <w:r>
        <w:rPr>
          <w:rFonts w:hint="eastAsia" w:ascii="宋体" w:hAnsi="宋体" w:eastAsia="宋体"/>
          <w:bCs/>
          <w:sz w:val="24"/>
          <w:szCs w:val="24"/>
          <w:highlight w:val="none"/>
        </w:rPr>
        <w:t>万元，报价方所报总价不得超过本项目的最高限价。</w:t>
      </w:r>
    </w:p>
    <w:p>
      <w:pPr>
        <w:pStyle w:val="81"/>
        <w:numPr>
          <w:ilvl w:val="0"/>
          <w:numId w:val="9"/>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评审原则</w:t>
      </w:r>
    </w:p>
    <w:p>
      <w:pPr>
        <w:tabs>
          <w:tab w:val="left" w:pos="0"/>
        </w:tabs>
        <w:kinsoku w:val="0"/>
        <w:overflowPunct w:val="0"/>
        <w:snapToGrid w:val="0"/>
        <w:spacing w:line="400" w:lineRule="exact"/>
        <w:ind w:firstLine="480" w:firstLineChars="200"/>
        <w:jc w:val="left"/>
        <w:textAlignment w:val="auto"/>
        <w:rPr>
          <w:rFonts w:ascii="宋体" w:hAnsi="宋体"/>
          <w:sz w:val="24"/>
          <w:szCs w:val="24"/>
          <w:highlight w:val="none"/>
        </w:rPr>
      </w:pPr>
      <w:r>
        <w:rPr>
          <w:rFonts w:hint="eastAsia" w:ascii="宋体" w:hAnsi="宋体"/>
          <w:sz w:val="24"/>
          <w:highlight w:val="none"/>
        </w:rPr>
        <w:t>本次项目采用最低价成交法。评审谈判小组从通过资格和符合性审查且报价最低的前三位报价方进行谈判。谈判过程中如报价方代表未到现场，视为谈判报价维持报价文件价格不变，谈判报价最低者确定为成交供应商。</w:t>
      </w:r>
    </w:p>
    <w:p>
      <w:pPr>
        <w:pStyle w:val="81"/>
        <w:numPr>
          <w:ilvl w:val="0"/>
          <w:numId w:val="9"/>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联系人</w:t>
      </w:r>
      <w:bookmarkEnd w:id="22"/>
      <w:bookmarkEnd w:id="23"/>
      <w:bookmarkEnd w:id="24"/>
      <w:bookmarkEnd w:id="25"/>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技术联系人：吴学渊，电话：</w:t>
      </w:r>
      <w:bookmarkEnd w:id="26"/>
      <w:r>
        <w:rPr>
          <w:rFonts w:hint="eastAsia" w:ascii="宋体" w:hAnsi="宋体" w:eastAsia="宋体"/>
          <w:b w:val="0"/>
          <w:sz w:val="24"/>
          <w:szCs w:val="24"/>
          <w:highlight w:val="none"/>
        </w:rPr>
        <w:t>18250608865；</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交标书联系人：林鹭莺，电话：13959259483</w:t>
      </w:r>
    </w:p>
    <w:p>
      <w:pPr>
        <w:pStyle w:val="81"/>
        <w:numPr>
          <w:ilvl w:val="0"/>
          <w:numId w:val="9"/>
        </w:numPr>
        <w:autoSpaceDE/>
        <w:autoSpaceDN/>
        <w:adjustRightInd/>
        <w:spacing w:line="400" w:lineRule="atLeast"/>
        <w:ind w:firstLineChars="0"/>
        <w:textAlignment w:val="auto"/>
        <w:rPr>
          <w:rFonts w:ascii="宋体" w:hAnsi="Calibri" w:cs="宋体"/>
          <w:b/>
          <w:bCs/>
          <w:color w:val="000000"/>
          <w:sz w:val="24"/>
          <w:szCs w:val="24"/>
          <w:highlight w:val="none"/>
        </w:rPr>
      </w:pPr>
      <w:bookmarkStart w:id="27" w:name="_Toc4595_WPSOffice_Level2"/>
      <w:bookmarkStart w:id="28" w:name="_Toc18891_WPSOffice_Level2"/>
      <w:bookmarkStart w:id="29" w:name="_Toc12064_WPSOffice_Level2"/>
      <w:bookmarkStart w:id="30" w:name="_Toc22469_WPSOffice_Level2"/>
      <w:bookmarkStart w:id="31" w:name="_Toc15902_WPSOffice_Level2"/>
      <w:r>
        <w:rPr>
          <w:rFonts w:hint="eastAsia" w:ascii="宋体" w:hAnsi="Calibri" w:cs="宋体"/>
          <w:b/>
          <w:bCs/>
          <w:color w:val="000000"/>
          <w:sz w:val="24"/>
          <w:szCs w:val="24"/>
          <w:highlight w:val="none"/>
        </w:rPr>
        <w:t>监督电话</w:t>
      </w:r>
      <w:bookmarkEnd w:id="27"/>
      <w:bookmarkEnd w:id="28"/>
      <w:bookmarkEnd w:id="29"/>
      <w:bookmarkEnd w:id="30"/>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shd w:val="clear" w:color="auto" w:fill="FFFFFF"/>
        </w:rPr>
      </w:pPr>
      <w:r>
        <w:rPr>
          <w:rFonts w:hint="eastAsia" w:ascii="宋体" w:hAnsi="宋体" w:eastAsia="宋体"/>
          <w:b w:val="0"/>
          <w:sz w:val="24"/>
          <w:szCs w:val="24"/>
          <w:highlight w:val="none"/>
          <w:shd w:val="clear" w:color="auto" w:fill="FFFFFF"/>
        </w:rPr>
        <w:t xml:space="preserve">海发集团纪检监察室 0592-6800131 </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shd w:val="clear" w:color="auto" w:fill="FFFFFF"/>
        </w:rPr>
        <w:t>环保能源公司纪检小组 0592-6807528 </w:t>
      </w:r>
      <w:bookmarkEnd w:id="31"/>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p>
      <w:pPr>
        <w:shd w:val="clear" w:color="auto" w:fill="FFFFFF"/>
        <w:kinsoku w:val="0"/>
        <w:overflowPunct w:val="0"/>
        <w:adjustRightInd/>
        <w:spacing w:line="400" w:lineRule="atLeast"/>
        <w:ind w:firstLine="5116" w:firstLineChars="2132"/>
        <w:jc w:val="left"/>
        <w:rPr>
          <w:rFonts w:ascii="宋体" w:hAnsi="宋体"/>
          <w:sz w:val="24"/>
          <w:szCs w:val="24"/>
          <w:highlight w:val="none"/>
        </w:rPr>
      </w:pPr>
      <w:r>
        <w:rPr>
          <w:rFonts w:hint="eastAsia" w:ascii="宋体" w:hAnsi="宋体"/>
          <w:sz w:val="24"/>
          <w:szCs w:val="24"/>
          <w:highlight w:val="none"/>
        </w:rPr>
        <w:t>厦门海发环保能源股份有限公司</w:t>
      </w:r>
    </w:p>
    <w:p>
      <w:pPr>
        <w:shd w:val="clear" w:color="auto" w:fill="FFFFFF"/>
        <w:kinsoku w:val="0"/>
        <w:overflowPunct w:val="0"/>
        <w:adjustRightInd/>
        <w:spacing w:line="400" w:lineRule="atLeast"/>
        <w:ind w:firstLine="6552" w:firstLineChars="2730"/>
        <w:jc w:val="left"/>
        <w:rPr>
          <w:rFonts w:ascii="宋体" w:hAnsi="宋体"/>
          <w:sz w:val="24"/>
          <w:szCs w:val="24"/>
          <w:highlight w:val="none"/>
        </w:rPr>
      </w:pPr>
      <w:r>
        <w:rPr>
          <w:rFonts w:hint="eastAsia" w:ascii="宋体" w:hAnsi="宋体"/>
          <w:sz w:val="24"/>
          <w:szCs w:val="24"/>
          <w:highlight w:val="none"/>
        </w:rPr>
        <w:t>202</w:t>
      </w:r>
      <w:r>
        <w:rPr>
          <w:rFonts w:ascii="宋体" w:hAnsi="宋体"/>
          <w:sz w:val="24"/>
          <w:szCs w:val="24"/>
          <w:highlight w:val="none"/>
        </w:rPr>
        <w:t>2</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p>
    <w:p>
      <w:pPr>
        <w:shd w:val="clear" w:color="auto" w:fill="FFFFFF"/>
        <w:kinsoku w:val="0"/>
        <w:overflowPunct w:val="0"/>
        <w:adjustRightInd/>
        <w:spacing w:line="400" w:lineRule="atLeast"/>
        <w:jc w:val="left"/>
        <w:rPr>
          <w:rFonts w:ascii="宋体" w:hAnsi="宋体"/>
          <w:sz w:val="24"/>
          <w:szCs w:val="24"/>
          <w:highlight w:val="none"/>
        </w:rPr>
        <w:sectPr>
          <w:headerReference r:id="rId9" w:type="default"/>
          <w:footerReference r:id="rId10" w:type="default"/>
          <w:pgSz w:w="11906" w:h="16838"/>
          <w:pgMar w:top="1418" w:right="1418" w:bottom="1134" w:left="1418" w:header="1247" w:footer="1134" w:gutter="0"/>
          <w:cols w:space="720" w:num="1"/>
          <w:docGrid w:linePitch="326" w:charSpace="0"/>
        </w:sectPr>
      </w:pPr>
      <w:bookmarkStart w:id="183" w:name="_GoBack"/>
      <w:bookmarkEnd w:id="183"/>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bookmarkStart w:id="32" w:name="_Toc28625_WPSOffice_Level1"/>
      <w:bookmarkStart w:id="33" w:name="_Toc9417_WPSOffice_Level1"/>
      <w:bookmarkStart w:id="34" w:name="_Toc32729_WPSOffice_Level1"/>
      <w:bookmarkStart w:id="35" w:name="_Toc7186_WPSOffice_Level1"/>
      <w:bookmarkStart w:id="36" w:name="_Toc11260_WPSOffice_Level1"/>
      <w:r>
        <w:rPr>
          <w:rFonts w:hint="eastAsia" w:ascii="宋体" w:hAnsi="宋体" w:eastAsia="宋体"/>
          <w:bCs/>
          <w:sz w:val="24"/>
          <w:szCs w:val="24"/>
          <w:highlight w:val="none"/>
        </w:rPr>
        <w:t>第二部分 谈判须知</w:t>
      </w:r>
      <w:bookmarkEnd w:id="32"/>
      <w:bookmarkEnd w:id="33"/>
      <w:bookmarkEnd w:id="34"/>
      <w:bookmarkEnd w:id="35"/>
      <w:bookmarkEnd w:id="36"/>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bookmarkStart w:id="37" w:name="_Toc5871_WPSOffice_Level2"/>
      <w:r>
        <w:rPr>
          <w:rFonts w:hint="eastAsia" w:ascii="宋体" w:hAnsi="宋体" w:eastAsia="宋体"/>
          <w:bCs/>
          <w:sz w:val="24"/>
          <w:szCs w:val="24"/>
          <w:highlight w:val="none"/>
        </w:rPr>
        <w:t>备注：</w:t>
      </w:r>
      <w:bookmarkEnd w:id="37"/>
    </w:p>
    <w:p>
      <w:pPr>
        <w:pStyle w:val="6"/>
        <w:keepNext w:val="0"/>
        <w:keepLines w:val="0"/>
        <w:numPr>
          <w:ilvl w:val="0"/>
          <w:numId w:val="10"/>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全文中带有“*”的条款为关键性条款，如报价方对这些关键性条款存在任何负偏离或不满足将导致报价无效。</w:t>
      </w:r>
    </w:p>
    <w:p>
      <w:pPr>
        <w:pStyle w:val="6"/>
        <w:keepNext w:val="0"/>
        <w:keepLines w:val="0"/>
        <w:numPr>
          <w:ilvl w:val="0"/>
          <w:numId w:val="10"/>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谈判文件中所述技术要求，应视为保证实现本项目施工所需要的最低要求，如有遗漏，报价方应予以补充，否则，一旦成交将认为报价方认同遗漏部分并免费提供。</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本项目为</w:t>
      </w:r>
      <w:r>
        <w:rPr>
          <w:rFonts w:hint="eastAsia" w:ascii="宋体" w:hAnsi="宋体" w:eastAsia="宋体"/>
          <w:b w:val="0"/>
          <w:bCs/>
          <w:sz w:val="24"/>
          <w:szCs w:val="24"/>
          <w:highlight w:val="none"/>
          <w:u w:val="single"/>
        </w:rPr>
        <w:t>锅炉汽水系统管道及主蒸汽阀门更换项目</w:t>
      </w:r>
      <w:r>
        <w:rPr>
          <w:rFonts w:hint="eastAsia" w:ascii="宋体" w:hAnsi="宋体" w:eastAsia="宋体"/>
          <w:b w:val="0"/>
          <w:sz w:val="24"/>
          <w:szCs w:val="24"/>
          <w:highlight w:val="none"/>
        </w:rPr>
        <w:t>竞争性谈判采购，采购方为厦门海发环保能源股份有限公司。</w:t>
      </w:r>
      <w:r>
        <w:rPr>
          <w:rFonts w:hint="eastAsia" w:ascii="宋体" w:hAnsi="宋体" w:eastAsia="宋体"/>
          <w:b w:val="0"/>
          <w:bCs/>
          <w:sz w:val="24"/>
          <w:szCs w:val="24"/>
          <w:highlight w:val="none"/>
        </w:rPr>
        <w:t>请各</w:t>
      </w:r>
      <w:r>
        <w:rPr>
          <w:rFonts w:hint="eastAsia" w:ascii="宋体" w:hAnsi="宋体" w:eastAsia="宋体"/>
          <w:b w:val="0"/>
          <w:sz w:val="24"/>
          <w:szCs w:val="24"/>
          <w:highlight w:val="none"/>
        </w:rPr>
        <w:t>报价方仔细阅读本谈判文件的内容以保证提交完整有效的响应文件参加谈判活动。</w:t>
      </w:r>
    </w:p>
    <w:p>
      <w:pPr>
        <w:pStyle w:val="5"/>
        <w:spacing w:before="0" w:after="0" w:line="240" w:lineRule="auto"/>
        <w:jc w:val="center"/>
        <w:rPr>
          <w:rFonts w:ascii="宋体" w:hAnsi="宋体"/>
          <w:sz w:val="24"/>
          <w:szCs w:val="24"/>
          <w:highlight w:val="none"/>
        </w:rPr>
      </w:pPr>
      <w:bookmarkStart w:id="38" w:name="_Toc168484099"/>
      <w:bookmarkStart w:id="39" w:name="_Toc89055971"/>
      <w:bookmarkStart w:id="40" w:name="_Toc117657127"/>
      <w:bookmarkStart w:id="41" w:name="_Toc31698"/>
      <w:bookmarkStart w:id="42" w:name="_Toc4901220"/>
      <w:r>
        <w:rPr>
          <w:rFonts w:hint="eastAsia" w:ascii="宋体" w:hAnsi="宋体"/>
          <w:sz w:val="24"/>
          <w:szCs w:val="24"/>
          <w:highlight w:val="none"/>
        </w:rPr>
        <w:t>前  附  表</w:t>
      </w:r>
      <w:bookmarkEnd w:id="38"/>
      <w:bookmarkEnd w:id="39"/>
      <w:bookmarkEnd w:id="40"/>
      <w:bookmarkEnd w:id="41"/>
      <w:bookmarkEnd w:id="42"/>
    </w:p>
    <w:tbl>
      <w:tblPr>
        <w:tblStyle w:val="3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项目</w:t>
            </w:r>
          </w:p>
        </w:tc>
        <w:tc>
          <w:tcPr>
            <w:tcW w:w="8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tcBorders>
              <w:top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8371" w:type="dxa"/>
            <w:tcBorders>
              <w:top w:val="single" w:color="auto" w:sz="4" w:space="0"/>
            </w:tcBorders>
            <w:vAlign w:val="center"/>
          </w:tcPr>
          <w:p>
            <w:pPr>
              <w:spacing w:line="380" w:lineRule="exact"/>
              <w:rPr>
                <w:rFonts w:ascii="宋体" w:hAnsi="宋体" w:cs="宋体"/>
                <w:b/>
                <w:sz w:val="24"/>
                <w:szCs w:val="24"/>
                <w:highlight w:val="none"/>
              </w:rPr>
            </w:pPr>
            <w:r>
              <w:rPr>
                <w:rFonts w:hint="eastAsia" w:ascii="宋体" w:hAnsi="宋体" w:cs="宋体"/>
                <w:b/>
                <w:sz w:val="24"/>
                <w:szCs w:val="24"/>
                <w:highlight w:val="none"/>
              </w:rPr>
              <w:t>项目概况</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sz w:val="24"/>
                <w:szCs w:val="24"/>
                <w:highlight w:val="none"/>
              </w:rPr>
              <w:t>项目名称：</w:t>
            </w:r>
            <w:r>
              <w:rPr>
                <w:rFonts w:hint="eastAsia" w:ascii="宋体" w:hAnsi="宋体"/>
                <w:bCs/>
                <w:sz w:val="24"/>
                <w:szCs w:val="24"/>
                <w:highlight w:val="none"/>
              </w:rPr>
              <w:t>锅炉汽水系统管道及主蒸汽阀门更换项目</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 购 人：</w:t>
            </w:r>
            <w:r>
              <w:rPr>
                <w:rFonts w:hint="eastAsia" w:ascii="宋体" w:hAnsi="宋体" w:cs="宋体"/>
                <w:sz w:val="24"/>
                <w:szCs w:val="24"/>
                <w:highlight w:val="none"/>
              </w:rPr>
              <w:t>厦门海发环保能源股份有限公司</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采购方式：公开竞争性谈判</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资金来源：国有企业自筹资金</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项目编号：HFHN-XY2022-032</w:t>
            </w:r>
          </w:p>
          <w:p>
            <w:pPr>
              <w:numPr>
                <w:ilvl w:val="0"/>
                <w:numId w:val="11"/>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质量要求：合格</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宋体" w:cs="宋体"/>
                <w:bCs/>
                <w:kern w:val="2"/>
                <w:sz w:val="24"/>
                <w:szCs w:val="24"/>
                <w:highlight w:val="none"/>
              </w:rPr>
              <w:t>7、</w:t>
            </w:r>
            <w:r>
              <w:rPr>
                <w:rFonts w:hint="eastAsia" w:ascii="宋体" w:hAnsi="宋体"/>
                <w:bCs/>
                <w:sz w:val="24"/>
                <w:szCs w:val="24"/>
                <w:highlight w:val="none"/>
              </w:rPr>
              <w:t>工期要求：合同签订生效后，本项目分两阶段进行施工。</w:t>
            </w:r>
          </w:p>
          <w:p>
            <w:pPr>
              <w:pStyle w:val="81"/>
              <w:tabs>
                <w:tab w:val="left" w:pos="0"/>
              </w:tabs>
              <w:autoSpaceDE/>
              <w:autoSpaceDN/>
              <w:adjustRightInd/>
              <w:spacing w:line="400" w:lineRule="atLeast"/>
              <w:ind w:left="0" w:leftChars="0" w:firstLine="0" w:firstLineChars="0"/>
              <w:textAlignment w:val="auto"/>
              <w:rPr>
                <w:rFonts w:ascii="宋体" w:hAnsi="宋体" w:cs="宋体"/>
                <w:sz w:val="24"/>
                <w:szCs w:val="24"/>
                <w:highlight w:val="none"/>
              </w:rPr>
            </w:pPr>
            <w:r>
              <w:rPr>
                <w:rFonts w:hint="eastAsia" w:ascii="宋体" w:hAnsi="宋体"/>
                <w:sz w:val="24"/>
                <w:szCs w:val="24"/>
                <w:highlight w:val="none"/>
              </w:rPr>
              <w:t>（1）三</w:t>
            </w:r>
            <w:r>
              <w:rPr>
                <w:rFonts w:hint="eastAsia" w:ascii="宋体" w:hAnsi="Calibri" w:cs="宋体"/>
                <w:color w:val="000000"/>
                <w:sz w:val="24"/>
                <w:szCs w:val="24"/>
                <w:highlight w:val="none"/>
              </w:rPr>
              <w:t>台</w:t>
            </w:r>
            <w:r>
              <w:rPr>
                <w:rFonts w:ascii="宋体" w:hAnsi="Calibri" w:cs="宋体"/>
                <w:color w:val="000000"/>
                <w:sz w:val="24"/>
                <w:szCs w:val="24"/>
                <w:highlight w:val="none"/>
              </w:rPr>
              <w:t>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w:t>
            </w:r>
          </w:p>
          <w:p>
            <w:pPr>
              <w:pStyle w:val="81"/>
              <w:tabs>
                <w:tab w:val="left" w:pos="0"/>
              </w:tabs>
              <w:autoSpaceDE/>
              <w:autoSpaceDN/>
              <w:adjustRightInd/>
              <w:spacing w:line="400" w:lineRule="atLeast"/>
              <w:ind w:left="0" w:leftChars="0" w:firstLine="0" w:firstLineChars="0"/>
              <w:textAlignment w:val="auto"/>
              <w:rPr>
                <w:rFonts w:ascii="宋体" w:hAnsi="Calibri" w:cs="宋体"/>
                <w:color w:val="000000"/>
                <w:sz w:val="24"/>
                <w:szCs w:val="24"/>
                <w:highlight w:val="none"/>
              </w:rPr>
            </w:pPr>
            <w:r>
              <w:rPr>
                <w:rFonts w:hint="eastAsia" w:ascii="宋体" w:hAnsi="宋体" w:cs="宋体"/>
                <w:sz w:val="24"/>
                <w:szCs w:val="24"/>
                <w:highlight w:val="none"/>
              </w:rPr>
              <w:t>（2）三台锅炉出口隔离阀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Calibri" w:cs="宋体"/>
                <w:color w:val="000000"/>
                <w:sz w:val="24"/>
                <w:szCs w:val="24"/>
                <w:highlight w:val="none"/>
                <w:lang w:val="en-US" w:eastAsia="zh-CN"/>
              </w:rPr>
              <w:t>及其管道</w:t>
            </w:r>
            <w:r>
              <w:rPr>
                <w:rFonts w:hint="eastAsia" w:ascii="宋体" w:hAnsi="宋体" w:cs="宋体"/>
                <w:sz w:val="24"/>
                <w:szCs w:val="24"/>
                <w:highlight w:val="none"/>
              </w:rPr>
              <w:t>更换（需在2023年春节期间停运检修期间更换）。</w:t>
            </w:r>
          </w:p>
          <w:p>
            <w:pPr>
              <w:pStyle w:val="81"/>
              <w:tabs>
                <w:tab w:val="left" w:pos="0"/>
              </w:tabs>
              <w:autoSpaceDE/>
              <w:autoSpaceDN/>
              <w:adjustRightInd/>
              <w:spacing w:line="400" w:lineRule="atLeast"/>
              <w:ind w:firstLine="480"/>
              <w:textAlignment w:val="auto"/>
              <w:rPr>
                <w:rFonts w:ascii="宋体" w:hAnsi="宋体"/>
                <w:bCs/>
                <w:sz w:val="24"/>
                <w:szCs w:val="24"/>
                <w:highlight w:val="none"/>
              </w:rPr>
            </w:pPr>
            <w:r>
              <w:rPr>
                <w:rFonts w:hint="eastAsia" w:ascii="宋体" w:hAnsi="宋体" w:cs="宋体"/>
                <w:sz w:val="24"/>
                <w:szCs w:val="24"/>
                <w:highlight w:val="none"/>
              </w:rPr>
              <w:t>本项目更换件管道、阀门、大小头由采购方提供。工程施工范围内所涉及的脚手架搭拆、保温（材料、拆除及恢复）及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。施工之前</w:t>
            </w:r>
            <w:r>
              <w:rPr>
                <w:rFonts w:hint="eastAsia" w:ascii="宋体" w:hAnsi="宋体" w:cs="宋体"/>
                <w:bCs/>
                <w:sz w:val="24"/>
                <w:szCs w:val="24"/>
                <w:highlight w:val="none"/>
              </w:rPr>
              <w:t>报价方</w:t>
            </w:r>
            <w:r>
              <w:rPr>
                <w:rFonts w:hint="eastAsia" w:ascii="宋体" w:hAnsi="宋体"/>
                <w:sz w:val="24"/>
                <w:szCs w:val="24"/>
                <w:highlight w:val="none"/>
              </w:rPr>
              <w:t>需向厦门特检院按相关规定办理压力管道安装、维修告知等手续，改造范围内的环焊缝必须进行100%射线检验（无法进行射线检测的改为超声波检测），角焊缝进行100%磁粉检测。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无损检测费用由报价方负责</w:t>
            </w:r>
            <w:r>
              <w:rPr>
                <w:rFonts w:hint="eastAsia" w:ascii="宋体" w:hAnsi="宋体"/>
                <w:sz w:val="24"/>
                <w:szCs w:val="24"/>
                <w:highlight w:val="none"/>
                <w:lang w:eastAsia="zh-CN"/>
              </w:rPr>
              <w:t>）。</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负责将施工范围内拆除下来的管道、阀门等施工废料统一运至采购方厂区指定位置堆放。施工结束后清理现场，清运施工垃圾，做到工完料净场地清。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8" w:type="dxa"/>
            <w:vAlign w:val="center"/>
          </w:tcPr>
          <w:p>
            <w:pPr>
              <w:spacing w:line="360" w:lineRule="auto"/>
              <w:jc w:val="center"/>
              <w:rPr>
                <w:rFonts w:ascii="宋体" w:hAnsi="宋体" w:cs="宋体"/>
                <w:bCs/>
                <w:kern w:val="2"/>
                <w:sz w:val="24"/>
                <w:szCs w:val="24"/>
                <w:highlight w:val="none"/>
              </w:rPr>
            </w:pPr>
            <w:r>
              <w:rPr>
                <w:rFonts w:hint="eastAsia" w:ascii="宋体" w:hAnsi="宋体" w:cs="宋体"/>
                <w:bCs/>
                <w:kern w:val="2"/>
                <w:sz w:val="24"/>
                <w:szCs w:val="24"/>
                <w:highlight w:val="none"/>
              </w:rPr>
              <w:t>2</w:t>
            </w:r>
          </w:p>
        </w:tc>
        <w:tc>
          <w:tcPr>
            <w:tcW w:w="8371" w:type="dxa"/>
            <w:vAlign w:val="center"/>
          </w:tcPr>
          <w:p>
            <w:pPr>
              <w:snapToGrid w:val="0"/>
              <w:spacing w:line="400" w:lineRule="exact"/>
              <w:ind w:left="843" w:hanging="843" w:hangingChars="350"/>
              <w:rPr>
                <w:rFonts w:ascii="宋体" w:hAnsi="宋体" w:cs="宋体"/>
                <w:bCs/>
                <w:kern w:val="2"/>
                <w:sz w:val="24"/>
                <w:szCs w:val="24"/>
                <w:highlight w:val="none"/>
              </w:rPr>
            </w:pPr>
            <w:r>
              <w:rPr>
                <w:rFonts w:hint="eastAsia" w:ascii="宋体" w:hAnsi="宋体" w:cs="宋体"/>
                <w:b/>
                <w:bCs/>
                <w:sz w:val="24"/>
                <w:szCs w:val="24"/>
                <w:highlight w:val="none"/>
              </w:rPr>
              <w:t>响应人资格要求</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1、响应谈判文件、参加报价竞争的中华人民共和国境内的企业法人，且具有独立订立合同的权力，提供营业执照复印件并加盖公章。</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2、报价方提供法定代表人身份证明书，若非企业法定代表人签字报价需提交法人授权委托书。</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3、报价方须具备有效的国家行政主管部门颁发的GC2、</w:t>
            </w:r>
            <w:r>
              <w:rPr>
                <w:rFonts w:hint="eastAsia" w:ascii="宋体" w:hAnsi="Calibri" w:cs="宋体"/>
                <w:color w:val="000000"/>
                <w:sz w:val="24"/>
                <w:szCs w:val="24"/>
                <w:highlight w:val="none"/>
                <w:lang w:eastAsia="zh-CN"/>
              </w:rPr>
              <w:t>GCD(GD1)</w:t>
            </w:r>
            <w:r>
              <w:rPr>
                <w:rFonts w:hint="eastAsia" w:ascii="宋体" w:hAnsi="Calibri" w:cs="宋体"/>
                <w:color w:val="000000"/>
                <w:sz w:val="24"/>
                <w:szCs w:val="24"/>
                <w:highlight w:val="none"/>
              </w:rPr>
              <w:t>压力管道安装、维修资质，锅炉安装维修一级许可证资质，提供资质证书复印件并加盖公章。</w:t>
            </w:r>
          </w:p>
          <w:p>
            <w:pPr>
              <w:pStyle w:val="81"/>
              <w:tabs>
                <w:tab w:val="left" w:pos="0"/>
              </w:tabs>
              <w:autoSpaceDE/>
              <w:autoSpaceDN/>
              <w:adjustRightInd/>
              <w:spacing w:line="400" w:lineRule="atLeast"/>
              <w:ind w:firstLine="0" w:firstLineChars="0"/>
              <w:textAlignment w:val="auto"/>
              <w:rPr>
                <w:highlight w:val="none"/>
              </w:rPr>
            </w:pPr>
            <w:r>
              <w:rPr>
                <w:rFonts w:hint="eastAsia" w:ascii="宋体" w:hAnsi="Calibri" w:cs="宋体"/>
                <w:color w:val="000000"/>
                <w:sz w:val="24"/>
                <w:szCs w:val="24"/>
                <w:highlight w:val="none"/>
              </w:rPr>
              <w:t>4、提供自2019年1月1日起至投标截止日期，报价方必须具备国内不少于</w:t>
            </w:r>
            <w:r>
              <w:rPr>
                <w:rFonts w:hint="eastAsia" w:ascii="宋体" w:hAnsi="Calibri" w:cs="宋体"/>
                <w:color w:val="000000"/>
                <w:sz w:val="24"/>
                <w:szCs w:val="24"/>
                <w:highlight w:val="none"/>
                <w:lang w:val="en-US" w:eastAsia="zh-CN"/>
              </w:rPr>
              <w:t>2</w:t>
            </w:r>
            <w:r>
              <w:rPr>
                <w:rFonts w:hint="eastAsia" w:ascii="宋体" w:hAnsi="Calibri" w:cs="宋体"/>
                <w:color w:val="000000"/>
                <w:sz w:val="24"/>
                <w:szCs w:val="24"/>
                <w:highlight w:val="none"/>
              </w:rPr>
              <w:t>份</w:t>
            </w:r>
            <w:r>
              <w:rPr>
                <w:rFonts w:hint="eastAsia" w:ascii="宋体" w:hAnsi="Calibri" w:cs="宋体"/>
                <w:color w:val="000000"/>
                <w:sz w:val="24"/>
                <w:szCs w:val="24"/>
                <w:highlight w:val="none"/>
                <w:lang w:eastAsia="zh-CN"/>
              </w:rPr>
              <w:t>GCD(GD1)</w:t>
            </w:r>
            <w:r>
              <w:rPr>
                <w:rFonts w:hint="eastAsia" w:ascii="宋体" w:hAnsi="Calibri" w:cs="宋体"/>
                <w:color w:val="000000"/>
                <w:sz w:val="24"/>
                <w:szCs w:val="24"/>
                <w:highlight w:val="none"/>
              </w:rPr>
              <w:t>类管道安装或维修施工业绩，提供合同复印件并加盖公章。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8371" w:type="dxa"/>
            <w:vAlign w:val="center"/>
          </w:tcPr>
          <w:p>
            <w:pPr>
              <w:snapToGrid w:val="0"/>
              <w:spacing w:line="400" w:lineRule="exact"/>
              <w:ind w:left="843" w:hanging="843" w:hangingChars="350"/>
              <w:rPr>
                <w:rFonts w:ascii="宋体" w:hAnsi="宋体" w:cs="宋体"/>
                <w:sz w:val="24"/>
                <w:szCs w:val="24"/>
                <w:highlight w:val="none"/>
              </w:rPr>
            </w:pPr>
            <w:r>
              <w:rPr>
                <w:rFonts w:hint="eastAsia" w:ascii="宋体" w:hAnsi="宋体" w:cs="宋体"/>
                <w:b/>
                <w:bCs/>
                <w:sz w:val="24"/>
                <w:szCs w:val="24"/>
                <w:highlight w:val="none"/>
              </w:rPr>
              <w:t>踏勘现场：</w:t>
            </w:r>
            <w:r>
              <w:rPr>
                <w:rFonts w:hint="eastAsia" w:ascii="宋体" w:hAnsi="宋体" w:cs="宋体"/>
                <w:bCs/>
                <w:sz w:val="24"/>
                <w:szCs w:val="24"/>
                <w:highlight w:val="none"/>
              </w:rPr>
              <w:t>自行组织</w:t>
            </w:r>
          </w:p>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答疑形式：</w:t>
            </w:r>
            <w:r>
              <w:rPr>
                <w:rFonts w:hint="eastAsia" w:ascii="宋体" w:hAnsi="宋体" w:cs="宋体"/>
                <w:bCs/>
                <w:sz w:val="24"/>
                <w:szCs w:val="24"/>
                <w:highlight w:val="none"/>
              </w:rPr>
              <w:t>本项目不举行答疑会，如有问题可与采购方联系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sz w:val="24"/>
                <w:szCs w:val="24"/>
                <w:highlight w:val="none"/>
              </w:rPr>
              <w:t>响应报价文件有效期：</w:t>
            </w:r>
            <w:r>
              <w:rPr>
                <w:rFonts w:hint="eastAsia" w:ascii="宋体" w:hAnsi="宋体" w:cs="宋体"/>
                <w:sz w:val="24"/>
                <w:szCs w:val="24"/>
                <w:highlight w:val="none"/>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响应报价文件装订要求</w:t>
            </w:r>
            <w:r>
              <w:rPr>
                <w:rFonts w:hint="eastAsia" w:ascii="宋体" w:hAnsi="宋体" w:cs="宋体"/>
                <w:sz w:val="24"/>
                <w:szCs w:val="24"/>
                <w:highlight w:val="none"/>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响应报价文件递交截止日期</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12</w:t>
            </w:r>
            <w:r>
              <w:rPr>
                <w:rFonts w:hint="eastAsia" w:ascii="宋体" w:hAnsi="宋体"/>
                <w:b/>
                <w:sz w:val="24"/>
                <w:szCs w:val="24"/>
                <w:highlight w:val="none"/>
              </w:rPr>
              <w:t>月</w:t>
            </w:r>
            <w:r>
              <w:rPr>
                <w:rFonts w:hint="eastAsia" w:ascii="宋体" w:hAnsi="宋体"/>
                <w:sz w:val="24"/>
                <w:szCs w:val="24"/>
                <w:highlight w:val="none"/>
                <w:lang w:val="en-US" w:eastAsia="zh-CN"/>
              </w:rPr>
              <w:t>29</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响应报价文件递交至</w:t>
            </w:r>
            <w:r>
              <w:rPr>
                <w:rFonts w:hint="eastAsia" w:ascii="宋体" w:hAnsi="宋体" w:cs="宋体"/>
                <w:sz w:val="24"/>
                <w:szCs w:val="24"/>
                <w:highlight w:val="none"/>
              </w:rPr>
              <w:t>：厦门海发环保能源股份有限公司2楼综合管理办公室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谈判时间</w:t>
            </w:r>
            <w:r>
              <w:rPr>
                <w:rFonts w:hint="eastAsia" w:ascii="宋体" w:hAnsi="宋体" w:cs="宋体"/>
                <w:sz w:val="24"/>
                <w:szCs w:val="24"/>
                <w:highlight w:val="none"/>
              </w:rPr>
              <w:t>：</w:t>
            </w:r>
            <w:r>
              <w:rPr>
                <w:rFonts w:hint="eastAsia" w:ascii="宋体" w:hAnsi="宋体"/>
                <w:b/>
                <w:sz w:val="24"/>
                <w:szCs w:val="24"/>
                <w:highlight w:val="none"/>
              </w:rPr>
              <w:t>202</w:t>
            </w:r>
            <w:r>
              <w:rPr>
                <w:rFonts w:ascii="宋体" w:hAnsi="宋体"/>
                <w:sz w:val="24"/>
                <w:szCs w:val="24"/>
                <w:highlight w:val="none"/>
              </w:rPr>
              <w:t>2</w:t>
            </w:r>
            <w:r>
              <w:rPr>
                <w:rFonts w:hint="eastAsia" w:ascii="宋体" w:hAnsi="宋体"/>
                <w:b/>
                <w:sz w:val="24"/>
                <w:szCs w:val="24"/>
                <w:highlight w:val="none"/>
              </w:rPr>
              <w:t>年</w:t>
            </w:r>
            <w:r>
              <w:rPr>
                <w:rFonts w:hint="eastAsia" w:ascii="宋体" w:hAnsi="宋体"/>
                <w:sz w:val="24"/>
                <w:szCs w:val="24"/>
                <w:highlight w:val="none"/>
                <w:lang w:val="en-US" w:eastAsia="zh-CN"/>
              </w:rPr>
              <w:t>12</w:t>
            </w:r>
            <w:r>
              <w:rPr>
                <w:rFonts w:hint="eastAsia" w:ascii="宋体" w:hAnsi="宋体"/>
                <w:b/>
                <w:sz w:val="24"/>
                <w:szCs w:val="24"/>
                <w:highlight w:val="none"/>
              </w:rPr>
              <w:t>月</w:t>
            </w:r>
            <w:r>
              <w:rPr>
                <w:rFonts w:hint="eastAsia" w:ascii="宋体" w:hAnsi="宋体"/>
                <w:sz w:val="24"/>
                <w:szCs w:val="24"/>
                <w:highlight w:val="none"/>
                <w:lang w:val="en-US" w:eastAsia="zh-CN"/>
              </w:rPr>
              <w:t>29</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谈判地点</w:t>
            </w:r>
            <w:r>
              <w:rPr>
                <w:rFonts w:hint="eastAsia" w:ascii="宋体" w:hAnsi="宋体" w:cs="宋体"/>
                <w:sz w:val="24"/>
                <w:szCs w:val="24"/>
                <w:highlight w:val="none"/>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8371" w:type="dxa"/>
            <w:vAlign w:val="center"/>
          </w:tcPr>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谈判规则：</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谈判小组对报价方进行资格性和符合性审查，报价方不符合资格性及符合性条款和“*”条款要求，视为无效响应报价文件；</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谈判小组从通过资格和符合性审查且报价最低的前三位报价方进行谈判。谈判小组所有成员应当全员到齐与单一报价方分别进行谈判，谈判顺序采用随机抽取的方法确认。</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报价方代表未到现场，视为维持投标报价文件内容和投标报价价格不变。</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numPr>
                <w:ilvl w:val="0"/>
                <w:numId w:val="12"/>
              </w:numPr>
              <w:spacing w:line="400" w:lineRule="exact"/>
              <w:jc w:val="left"/>
              <w:rPr>
                <w:rFonts w:ascii="宋体" w:hAnsi="宋体"/>
                <w:b/>
                <w:bCs/>
                <w:sz w:val="24"/>
                <w:szCs w:val="24"/>
                <w:highlight w:val="none"/>
              </w:rPr>
            </w:pPr>
            <w:r>
              <w:rPr>
                <w:rFonts w:hint="eastAsia" w:ascii="宋体" w:hAnsi="宋体"/>
                <w:b/>
                <w:bCs/>
                <w:sz w:val="24"/>
                <w:szCs w:val="24"/>
                <w:highlight w:val="none"/>
              </w:rPr>
              <w:t>响应报价方代表参加谈判并签署报价文件，谈判时应出示身份证原件。</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在谈判活动中，有关人员不得透露与谈判有关的一切技术资料、价格和其它信息给其他报价方。</w:t>
            </w:r>
          </w:p>
          <w:p>
            <w:pPr>
              <w:numPr>
                <w:ilvl w:val="0"/>
                <w:numId w:val="12"/>
              </w:numPr>
              <w:spacing w:line="400" w:lineRule="exact"/>
              <w:jc w:val="left"/>
              <w:rPr>
                <w:rFonts w:ascii="宋体" w:hAnsi="宋体"/>
                <w:sz w:val="24"/>
                <w:szCs w:val="24"/>
                <w:highlight w:val="none"/>
              </w:rPr>
            </w:pPr>
            <w:r>
              <w:rPr>
                <w:rFonts w:hint="eastAsia" w:ascii="宋体" w:hAnsi="宋体"/>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8371" w:type="dxa"/>
            <w:vAlign w:val="center"/>
          </w:tcPr>
          <w:p>
            <w:pPr>
              <w:spacing w:line="400" w:lineRule="exact"/>
              <w:jc w:val="left"/>
              <w:rPr>
                <w:rFonts w:ascii="宋体" w:hAnsi="宋体"/>
                <w:b/>
                <w:bCs/>
                <w:sz w:val="24"/>
                <w:szCs w:val="24"/>
                <w:highlight w:val="none"/>
              </w:rPr>
            </w:pPr>
            <w:r>
              <w:rPr>
                <w:rFonts w:hint="eastAsia" w:ascii="宋体" w:hAnsi="宋体"/>
                <w:b/>
                <w:bCs/>
                <w:sz w:val="24"/>
                <w:szCs w:val="24"/>
                <w:highlight w:val="none"/>
              </w:rPr>
              <w:t>谈判评审标准：</w:t>
            </w:r>
          </w:p>
          <w:p>
            <w:pPr>
              <w:numPr>
                <w:ilvl w:val="0"/>
                <w:numId w:val="13"/>
              </w:numPr>
              <w:snapToGrid w:val="0"/>
              <w:spacing w:line="380" w:lineRule="exact"/>
              <w:rPr>
                <w:rFonts w:ascii="宋体" w:hAnsi="宋体"/>
                <w:sz w:val="24"/>
                <w:szCs w:val="24"/>
                <w:highlight w:val="none"/>
              </w:rPr>
            </w:pPr>
            <w:r>
              <w:rPr>
                <w:rFonts w:hint="eastAsia" w:ascii="宋体" w:hAnsi="宋体"/>
                <w:sz w:val="24"/>
                <w:szCs w:val="24"/>
                <w:highlight w:val="none"/>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询报价，若还出现报价相同，则由评标小组现场抽签确定成交候选供应商顺序。</w:t>
            </w:r>
          </w:p>
          <w:p>
            <w:pPr>
              <w:numPr>
                <w:ilvl w:val="0"/>
                <w:numId w:val="13"/>
              </w:numPr>
              <w:snapToGrid w:val="0"/>
              <w:spacing w:line="380" w:lineRule="exact"/>
              <w:rPr>
                <w:rFonts w:ascii="宋体" w:hAnsi="宋体"/>
                <w:sz w:val="24"/>
                <w:szCs w:val="24"/>
                <w:highlight w:val="none"/>
              </w:rPr>
            </w:pPr>
            <w:r>
              <w:rPr>
                <w:rFonts w:ascii="宋体" w:hAnsi="宋体"/>
                <w:sz w:val="24"/>
                <w:szCs w:val="24"/>
                <w:highlight w:val="none"/>
              </w:rPr>
              <w:t>成交</w:t>
            </w:r>
            <w:r>
              <w:rPr>
                <w:rFonts w:hint="eastAsia" w:ascii="宋体" w:hAnsi="宋体"/>
                <w:sz w:val="24"/>
                <w:szCs w:val="24"/>
                <w:highlight w:val="none"/>
              </w:rPr>
              <w:t>供应商</w:t>
            </w:r>
            <w:r>
              <w:rPr>
                <w:rFonts w:ascii="宋体" w:hAnsi="宋体"/>
                <w:sz w:val="24"/>
                <w:szCs w:val="24"/>
                <w:highlight w:val="none"/>
              </w:rPr>
              <w:t>未在规定时间内与采购</w:t>
            </w:r>
            <w:r>
              <w:rPr>
                <w:rFonts w:hint="eastAsia" w:ascii="宋体" w:hAnsi="宋体"/>
                <w:sz w:val="24"/>
                <w:szCs w:val="24"/>
                <w:highlight w:val="none"/>
              </w:rPr>
              <w:t>方</w:t>
            </w:r>
            <w:r>
              <w:rPr>
                <w:rFonts w:ascii="宋体" w:hAnsi="宋体"/>
                <w:sz w:val="24"/>
                <w:szCs w:val="24"/>
                <w:highlight w:val="none"/>
              </w:rPr>
              <w:t>签订合同的、或者被确定为成交</w:t>
            </w:r>
            <w:r>
              <w:rPr>
                <w:rFonts w:hint="eastAsia" w:ascii="宋体" w:hAnsi="宋体"/>
                <w:sz w:val="24"/>
                <w:szCs w:val="24"/>
                <w:highlight w:val="none"/>
              </w:rPr>
              <w:t>供应商</w:t>
            </w:r>
            <w:r>
              <w:rPr>
                <w:rFonts w:ascii="宋体" w:hAnsi="宋体"/>
                <w:sz w:val="24"/>
                <w:szCs w:val="24"/>
                <w:highlight w:val="none"/>
              </w:rPr>
              <w:t>后明确表示放弃成交的，采购</w:t>
            </w:r>
            <w:r>
              <w:rPr>
                <w:rFonts w:hint="eastAsia" w:ascii="宋体" w:hAnsi="宋体"/>
                <w:sz w:val="24"/>
                <w:szCs w:val="24"/>
                <w:highlight w:val="none"/>
              </w:rPr>
              <w:t>方</w:t>
            </w:r>
            <w:r>
              <w:rPr>
                <w:rFonts w:ascii="宋体" w:hAnsi="宋体"/>
                <w:sz w:val="24"/>
                <w:szCs w:val="24"/>
                <w:highlight w:val="none"/>
              </w:rPr>
              <w:t>将按照成交候选</w:t>
            </w:r>
            <w:r>
              <w:rPr>
                <w:rFonts w:hint="eastAsia" w:ascii="宋体" w:hAnsi="宋体"/>
                <w:sz w:val="24"/>
                <w:szCs w:val="24"/>
                <w:highlight w:val="none"/>
              </w:rPr>
              <w:t>供应商</w:t>
            </w:r>
            <w:r>
              <w:rPr>
                <w:rFonts w:ascii="宋体" w:hAnsi="宋体"/>
                <w:sz w:val="24"/>
                <w:szCs w:val="24"/>
                <w:highlight w:val="none"/>
              </w:rPr>
              <w:t>的排序重新确定成交</w:t>
            </w:r>
            <w:r>
              <w:rPr>
                <w:rFonts w:hint="eastAsia" w:ascii="宋体" w:hAnsi="宋体"/>
                <w:sz w:val="24"/>
                <w:szCs w:val="24"/>
                <w:highlight w:val="none"/>
              </w:rPr>
              <w:t>供应商。</w:t>
            </w:r>
          </w:p>
        </w:tc>
      </w:tr>
    </w:tbl>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bookmarkStart w:id="43" w:name="_Toc7295_WPSOffice_Level2"/>
      <w:bookmarkStart w:id="44" w:name="_Toc23224_WPSOffice_Level1"/>
      <w:bookmarkStart w:id="45" w:name="_Toc28521_WPSOffice_Level1"/>
      <w:bookmarkStart w:id="46" w:name="_Toc2812_WPSOffice_Level1"/>
      <w:bookmarkStart w:id="47" w:name="_Toc16774_WPSOffice_Level1"/>
      <w:bookmarkStart w:id="48" w:name="_Toc14892_WPSOffice_Level1"/>
      <w:r>
        <w:rPr>
          <w:rFonts w:hint="eastAsia" w:ascii="宋体" w:hAnsi="Calibri" w:cs="宋体"/>
          <w:b/>
          <w:bCs/>
          <w:color w:val="000000"/>
          <w:sz w:val="24"/>
          <w:szCs w:val="24"/>
          <w:highlight w:val="none"/>
        </w:rPr>
        <w:t>谈判文件</w:t>
      </w:r>
      <w:bookmarkEnd w:id="43"/>
    </w:p>
    <w:p>
      <w:pPr>
        <w:pStyle w:val="81"/>
        <w:numPr>
          <w:ilvl w:val="0"/>
          <w:numId w:val="1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谈判邀请书</w:t>
      </w:r>
    </w:p>
    <w:p>
      <w:pPr>
        <w:pStyle w:val="81"/>
        <w:numPr>
          <w:ilvl w:val="0"/>
          <w:numId w:val="1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谈判须知</w:t>
      </w:r>
    </w:p>
    <w:p>
      <w:pPr>
        <w:pStyle w:val="81"/>
        <w:numPr>
          <w:ilvl w:val="0"/>
          <w:numId w:val="1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技术规格及要求</w:t>
      </w:r>
    </w:p>
    <w:p>
      <w:pPr>
        <w:pStyle w:val="81"/>
        <w:numPr>
          <w:ilvl w:val="0"/>
          <w:numId w:val="1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合同主要条款</w:t>
      </w:r>
    </w:p>
    <w:p>
      <w:pPr>
        <w:pStyle w:val="81"/>
        <w:numPr>
          <w:ilvl w:val="0"/>
          <w:numId w:val="1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响应文件格式</w:t>
      </w:r>
    </w:p>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谈判文件的澄清和修改</w:t>
      </w:r>
    </w:p>
    <w:p>
      <w:pPr>
        <w:pStyle w:val="81"/>
        <w:numPr>
          <w:ilvl w:val="0"/>
          <w:numId w:val="1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谈判文件的澄清</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highlight w:val="none"/>
        </w:rPr>
      </w:pPr>
      <w:r>
        <w:rPr>
          <w:rFonts w:hint="eastAsia" w:ascii="宋体" w:hAnsi="宋体" w:eastAsia="宋体"/>
          <w:b w:val="0"/>
          <w:sz w:val="24"/>
          <w:szCs w:val="24"/>
          <w:highlight w:val="none"/>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highlight w:val="none"/>
        </w:rPr>
        <w:t>复作为谈判文件的一部分，对报价方有约束力。</w:t>
      </w:r>
    </w:p>
    <w:p>
      <w:pPr>
        <w:pStyle w:val="81"/>
        <w:numPr>
          <w:ilvl w:val="0"/>
          <w:numId w:val="1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谈判文件的修改</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可以在报价文件投递截止时间之前的任何时候对谈判文件进行修改。由于谈判文件的修改可适当延长报价文件投递截止时间。谈判文件的修改将以相应网站公告的形式发布，或以书面形式发给已知每一个报价方，该修改书将构成谈判文件的一部分，对报价方有约束力。</w:t>
      </w:r>
    </w:p>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响应文件的编制</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响应报价函；</w:t>
      </w:r>
    </w:p>
    <w:p>
      <w:pPr>
        <w:numPr>
          <w:ilvl w:val="0"/>
          <w:numId w:val="17"/>
        </w:numPr>
        <w:kinsoku w:val="0"/>
        <w:overflowPunct w:val="0"/>
        <w:autoSpaceDE/>
        <w:autoSpaceDN/>
        <w:snapToGrid w:val="0"/>
        <w:spacing w:line="440" w:lineRule="atLeast"/>
        <w:textAlignment w:val="auto"/>
        <w:rPr>
          <w:highlight w:val="none"/>
        </w:rPr>
      </w:pPr>
      <w:r>
        <w:rPr>
          <w:rFonts w:hint="eastAsia" w:ascii="宋体" w:hAnsi="宋体"/>
          <w:sz w:val="24"/>
          <w:szCs w:val="24"/>
          <w:highlight w:val="none"/>
        </w:rPr>
        <w:t>报价一览表；</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法定代表人身份证明书；</w:t>
      </w:r>
    </w:p>
    <w:p>
      <w:pPr>
        <w:numPr>
          <w:ilvl w:val="0"/>
          <w:numId w:val="17"/>
        </w:numPr>
        <w:kinsoku w:val="0"/>
        <w:overflowPunct w:val="0"/>
        <w:snapToGrid w:val="0"/>
        <w:spacing w:line="400" w:lineRule="atLeast"/>
        <w:textAlignment w:val="auto"/>
        <w:rPr>
          <w:rFonts w:ascii="宋体" w:hAnsi="宋体"/>
          <w:sz w:val="24"/>
          <w:szCs w:val="24"/>
          <w:highlight w:val="none"/>
        </w:rPr>
      </w:pPr>
      <w:r>
        <w:rPr>
          <w:rFonts w:hint="eastAsia" w:ascii="宋体" w:hAnsi="宋体"/>
          <w:sz w:val="24"/>
          <w:szCs w:val="24"/>
          <w:highlight w:val="none"/>
        </w:rPr>
        <w:t>法人授权委托书；</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关于资格的声明函；</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报价方廉洁承诺书；</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企业加盖报价单位公章的相关资质证明文件等；</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相关业绩证明，提供合同复印件并加盖公章；</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报价方认为需要提供的其它资料；</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项目管理机构配备情况；</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施工组织方案。包括但不限于：主要施工方法、工程投入的主要物资和施工机械设备情况、确保工程质量和工期的技术组织措施、确保安全生产的技术组织措施、施工总进度表或工期网络图；</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质量保证和售后服务承诺书；</w:t>
      </w:r>
    </w:p>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报价文件的递交</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报价文件的递交。报价方必须按报价邀请书的要求在规定的时间内将报价文件送达规定的地点。</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迟到的报价文件。采购方对于迟到的报价文件有权拒绝接收。</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bookmarkStart w:id="49" w:name="_Toc24455234"/>
      <w:bookmarkStart w:id="50" w:name="_Toc24083814"/>
      <w:bookmarkStart w:id="51" w:name="_Toc293413481"/>
      <w:bookmarkStart w:id="52" w:name="_Toc14599_WPSOffice_Level2"/>
      <w:bookmarkStart w:id="53" w:name="_Toc260238417"/>
      <w:bookmarkStart w:id="54" w:name="_Toc7288_WPSOffice_Level2"/>
      <w:bookmarkStart w:id="55" w:name="_Toc19491_WPSOffice_Level2"/>
      <w:bookmarkStart w:id="56" w:name="_Toc33340839"/>
      <w:bookmarkStart w:id="57" w:name="_Toc229281572"/>
      <w:bookmarkStart w:id="58" w:name="_Toc260230613"/>
      <w:bookmarkStart w:id="59" w:name="_Toc22570_WPSOffice_Level2"/>
      <w:r>
        <w:rPr>
          <w:rFonts w:hint="eastAsia" w:ascii="宋体" w:hAnsi="Calibri" w:cs="宋体"/>
          <w:b/>
          <w:bCs/>
          <w:color w:val="000000"/>
          <w:sz w:val="24"/>
          <w:szCs w:val="24"/>
          <w:highlight w:val="none"/>
        </w:rPr>
        <w:t>谈判与评</w:t>
      </w:r>
      <w:bookmarkEnd w:id="49"/>
      <w:bookmarkEnd w:id="50"/>
      <w:bookmarkEnd w:id="51"/>
      <w:bookmarkEnd w:id="52"/>
      <w:bookmarkEnd w:id="53"/>
      <w:bookmarkEnd w:id="54"/>
      <w:bookmarkEnd w:id="55"/>
      <w:bookmarkEnd w:id="56"/>
      <w:bookmarkEnd w:id="57"/>
      <w:bookmarkEnd w:id="58"/>
      <w:bookmarkEnd w:id="59"/>
      <w:r>
        <w:rPr>
          <w:rFonts w:hint="eastAsia" w:ascii="宋体" w:hAnsi="Calibri" w:cs="宋体"/>
          <w:b/>
          <w:bCs/>
          <w:color w:val="000000"/>
          <w:sz w:val="24"/>
          <w:szCs w:val="24"/>
          <w:highlight w:val="none"/>
        </w:rPr>
        <w:t>审</w:t>
      </w:r>
    </w:p>
    <w:p>
      <w:pPr>
        <w:pStyle w:val="81"/>
        <w:numPr>
          <w:ilvl w:val="0"/>
          <w:numId w:val="19"/>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采购方将按照采购公告中规定的时间，在厦门市海沧区阳光西路288号厦门海发环保能源股份有限公司二楼开标室谈判。</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谈判时欢迎所有报价方参加谈判会议，报价方代表应签名以证明其出席谈判会议，报价方因故不能派代表出席谈判会议的，视为默认谈判结果。</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报价方代表可监督检查报价文件的密封情况。</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谈判时，报价文件有下列情况之一者将被视为废标。</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报价文件未标识和密封；</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报价文件密封处未加盖报价方公章；</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报价截止时间以后送达的报价文件。</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bookmarkStart w:id="60" w:name="_Toc439661731"/>
      <w:bookmarkStart w:id="61" w:name="_Toc441224335"/>
      <w:bookmarkStart w:id="62" w:name="_Toc418522815"/>
      <w:bookmarkStart w:id="63" w:name="_Toc421773672"/>
      <w:bookmarkStart w:id="64" w:name="_Toc449635679"/>
      <w:bookmarkStart w:id="65" w:name="_Toc445901129"/>
      <w:bookmarkStart w:id="66" w:name="_Toc441500070"/>
      <w:bookmarkStart w:id="67" w:name="_Toc425266324"/>
      <w:bookmarkStart w:id="68" w:name="_Toc444614425"/>
      <w:bookmarkStart w:id="69" w:name="_Toc445991603"/>
      <w:bookmarkStart w:id="70" w:name="_Toc457383223"/>
      <w:bookmarkStart w:id="71" w:name="_Toc449373772"/>
      <w:bookmarkStart w:id="72" w:name="_Toc445748261"/>
      <w:bookmarkStart w:id="73" w:name="_Toc462647056"/>
      <w:bookmarkStart w:id="74" w:name="_Toc422906617"/>
      <w:bookmarkStart w:id="75" w:name="_Toc440899515"/>
      <w:bookmarkStart w:id="76" w:name="_Toc420577581"/>
      <w:bookmarkStart w:id="77" w:name="_Toc422416153"/>
      <w:r>
        <w:rPr>
          <w:rFonts w:hint="eastAsia" w:ascii="宋体" w:hAnsi="Calibri" w:cs="宋体"/>
          <w:color w:val="000000"/>
          <w:sz w:val="24"/>
          <w:szCs w:val="24"/>
          <w:highlight w:val="none"/>
        </w:rPr>
        <w:t>本项目若属于首次进行竞争性谈判采购的，在谈判过程中出现下列情况的，本次谈判失败。</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在规定的报价截止时间前递交报价文件的供应商不足三家的；</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能满足采购文件实质性要求的有效供应商不足三家的；</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首次报价或最终报价未超过采购最高限价的有效供应商不足三家的。</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81"/>
        <w:numPr>
          <w:ilvl w:val="0"/>
          <w:numId w:val="19"/>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评审原则</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评审谈判小组对具备实质性的报价文件进行评估和比较。评审谈判小组成员由采购方相关人员组成，评审谈判小组将严格按照谈判文件的要求和条件对所有报价文件进行评审。</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符合性审查，如发现下列情况之一，将按废标处理。</w:t>
      </w:r>
    </w:p>
    <w:p>
      <w:pPr>
        <w:pStyle w:val="81"/>
        <w:numPr>
          <w:ilvl w:val="0"/>
          <w:numId w:val="2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资格证明文件不全的；</w:t>
      </w:r>
    </w:p>
    <w:p>
      <w:pPr>
        <w:pStyle w:val="81"/>
        <w:numPr>
          <w:ilvl w:val="0"/>
          <w:numId w:val="2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报价文件未按谈判文件规定盖报价单位公章及签字；</w:t>
      </w:r>
    </w:p>
    <w:p>
      <w:pPr>
        <w:pStyle w:val="81"/>
        <w:numPr>
          <w:ilvl w:val="0"/>
          <w:numId w:val="2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报价文件附有采购方不能接受的条件的。</w:t>
      </w:r>
      <w:bookmarkStart w:id="78" w:name="_Toc33340840"/>
      <w:bookmarkStart w:id="79" w:name="_Toc18016_WPSOffice_Level2"/>
      <w:bookmarkStart w:id="80" w:name="_Toc24083815"/>
      <w:bookmarkStart w:id="81" w:name="_Toc24711813"/>
      <w:bookmarkStart w:id="82" w:name="_Toc293413482"/>
      <w:bookmarkStart w:id="83" w:name="_Toc229281573"/>
      <w:bookmarkStart w:id="84" w:name="_Toc7598_WPSOffice_Level2"/>
      <w:bookmarkStart w:id="85" w:name="_Toc18499_WPSOffice_Level2"/>
      <w:bookmarkStart w:id="86" w:name="_Toc26749_WPSOffice_Level2"/>
      <w:bookmarkStart w:id="87" w:name="_Toc24455235"/>
      <w:bookmarkStart w:id="88" w:name="_Toc24456368"/>
      <w:bookmarkStart w:id="89" w:name="_Toc260238418"/>
      <w:bookmarkStart w:id="90" w:name="_Toc260230614"/>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谈判小组从通过资格和符合性审查且报价最低的前三位报价方进行谈判。</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谈判小组与报价方就谈判文件技术、商务、合同条款等内容进行谈判，报价方第二次报价不得高于第一次报价；报价方代表未到谈判现场，视为维持谈判文件和报价价格不变。</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谈判过程中，报价方提交的澄清文件和最终承诺书，应由报价方法定代表人或授权代表签署后生效，报价方应受其约束。</w:t>
      </w:r>
    </w:p>
    <w:p>
      <w:pPr>
        <w:pStyle w:val="81"/>
        <w:numPr>
          <w:ilvl w:val="0"/>
          <w:numId w:val="23"/>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pPr>
        <w:pStyle w:val="81"/>
        <w:numPr>
          <w:ilvl w:val="0"/>
          <w:numId w:val="14"/>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合同的授予</w:t>
      </w:r>
      <w:bookmarkEnd w:id="78"/>
      <w:bookmarkEnd w:id="79"/>
      <w:bookmarkEnd w:id="80"/>
      <w:bookmarkEnd w:id="81"/>
      <w:bookmarkEnd w:id="82"/>
      <w:bookmarkEnd w:id="83"/>
      <w:bookmarkEnd w:id="84"/>
      <w:bookmarkEnd w:id="85"/>
      <w:bookmarkEnd w:id="86"/>
      <w:bookmarkEnd w:id="87"/>
      <w:bookmarkEnd w:id="88"/>
      <w:bookmarkEnd w:id="89"/>
      <w:bookmarkEnd w:id="90"/>
    </w:p>
    <w:p>
      <w:pPr>
        <w:pStyle w:val="81"/>
        <w:numPr>
          <w:ilvl w:val="0"/>
          <w:numId w:val="2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合同授予的条件</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采购方将根据评标意见，把合同授予其报价文件在实质上响应谈判文件要求的报价方，被确定的成交供应商必须具有实施本合同的能力和资源。</w:t>
      </w:r>
    </w:p>
    <w:p>
      <w:pPr>
        <w:pStyle w:val="81"/>
        <w:numPr>
          <w:ilvl w:val="0"/>
          <w:numId w:val="2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成交通知书</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评标结束后，采购方根据评标结果，在报价文件有效期截止前向成交供应商发出《成交通知书》。《成交通知书》是合同文件的组成部分。</w:t>
      </w:r>
    </w:p>
    <w:p>
      <w:pPr>
        <w:pStyle w:val="81"/>
        <w:numPr>
          <w:ilvl w:val="0"/>
          <w:numId w:val="2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签订合同</w:t>
      </w:r>
    </w:p>
    <w:p>
      <w:pPr>
        <w:pStyle w:val="81"/>
        <w:numPr>
          <w:ilvl w:val="0"/>
          <w:numId w:val="2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成交供应商应在接到成交通知书后30天内，与采购方尽快签订合同，采购方和成交供应商不得另行订立背离合同实质性内容的其它协议。</w:t>
      </w:r>
    </w:p>
    <w:p>
      <w:pPr>
        <w:pStyle w:val="81"/>
        <w:numPr>
          <w:ilvl w:val="0"/>
          <w:numId w:val="2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成交供应商因不可抗力或者自身原因不能履行采购合同的，采购方可以与排在成交供应商之后第一位的成交候选供应商签订采购合同，以此类推。</w:t>
      </w: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hint="eastAsia" w:ascii="宋体" w:hAnsi="宋体" w:eastAsia="宋体"/>
          <w:bCs/>
          <w:sz w:val="24"/>
          <w:szCs w:val="24"/>
          <w:highlight w:val="none"/>
        </w:rPr>
      </w:pP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第三部分 技术规格及要求</w:t>
      </w:r>
      <w:bookmarkEnd w:id="44"/>
      <w:bookmarkEnd w:id="45"/>
      <w:bookmarkEnd w:id="46"/>
      <w:bookmarkEnd w:id="47"/>
      <w:bookmarkEnd w:id="48"/>
    </w:p>
    <w:p>
      <w:pPr>
        <w:numPr>
          <w:ilvl w:val="0"/>
          <w:numId w:val="27"/>
        </w:numPr>
        <w:kinsoku w:val="0"/>
        <w:overflowPunct w:val="0"/>
        <w:snapToGrid w:val="0"/>
        <w:spacing w:line="420" w:lineRule="exact"/>
        <w:jc w:val="left"/>
        <w:textAlignment w:val="auto"/>
        <w:rPr>
          <w:highlight w:val="none"/>
        </w:rPr>
      </w:pPr>
      <w:bookmarkStart w:id="91" w:name="_Toc27841_WPSOffice_Level2"/>
      <w:bookmarkStart w:id="92" w:name="_Toc9606_WPSOffice_Level2"/>
      <w:bookmarkStart w:id="93" w:name="_Toc28137_WPSOffice_Level2"/>
      <w:bookmarkStart w:id="94" w:name="_Toc2423_WPSOffice_Level2"/>
      <w:r>
        <w:rPr>
          <w:rFonts w:hint="eastAsia" w:ascii="宋体" w:hAnsi="宋体" w:cs="宋体"/>
          <w:b/>
          <w:bCs/>
          <w:sz w:val="24"/>
          <w:szCs w:val="24"/>
          <w:highlight w:val="none"/>
        </w:rPr>
        <w:t>技术规格及要求</w:t>
      </w:r>
      <w:bookmarkEnd w:id="91"/>
      <w:bookmarkEnd w:id="92"/>
      <w:bookmarkEnd w:id="93"/>
      <w:bookmarkEnd w:id="94"/>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本项目为整体采购，项目为交钥匙工程，报价方应对所有内容完全响应，否则将导致无效报价。</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报价方应根据采购方的实际要求及现场踏勘结果进行报价，报价方应充分考虑谈判文件的遗漏项目，并在报价文件中提出，报价应包含所有遗漏项目的一切费用，报价方须充分考虑该因素，风险包干。</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报价方提供的项目技术规格、安装标准及技术规范等必须符合国家和行业规定标准、规范要求，技术参数与配置要求不得低于本采购项目提供的技术参数与配置要求。</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所采购与本项目有关的配件、材料等，必须符合国家标准，出自正规厂商，附带合格证明等有关证明文件。在材料设备进场前应经采购方现场人员签字确认，否则采购方有权拒绝进场。若所采购设备、辅助材料等不符合要求，采购方有权退货更换，所造成的损失由报价方自行负责，如造成损失的，采购方可要求报价方给予赔偿。</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报价方所采用的施工设备、技术、工艺不得低于现行的有关标准，并须得到采购方认可。</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在施工中隐蔽工程部分，应严格按照规范程序和要求进行施工，隐蔽工程需经采购方书面确认后方可施工，并作为报验资料存档。</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若成交供应商在工程施工过程中的行为被公众、媒体、知名网上论坛报道、议论而对采购方形象不利，或者导致采购方被相关政府部门追究问责的，成交供应商需承担因此产生的法律责任并赔偿采购方的经济损失。</w:t>
      </w:r>
    </w:p>
    <w:p>
      <w:pPr>
        <w:numPr>
          <w:ilvl w:val="0"/>
          <w:numId w:val="28"/>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涉及与有关行业部门的事宜、费用均由报价方自行处理，确保项目最终合格、合法交付采购方投入使用。</w:t>
      </w:r>
    </w:p>
    <w:p>
      <w:pPr>
        <w:numPr>
          <w:ilvl w:val="0"/>
          <w:numId w:val="28"/>
        </w:numPr>
        <w:kinsoku w:val="0"/>
        <w:overflowPunct w:val="0"/>
        <w:snapToGrid w:val="0"/>
        <w:spacing w:line="420" w:lineRule="exact"/>
        <w:jc w:val="left"/>
        <w:textAlignment w:val="auto"/>
        <w:rPr>
          <w:rFonts w:ascii="宋体" w:hAnsi="宋体" w:cs="宋体"/>
          <w:b/>
          <w:sz w:val="24"/>
          <w:szCs w:val="24"/>
          <w:highlight w:val="none"/>
        </w:rPr>
      </w:pPr>
      <w:r>
        <w:rPr>
          <w:rFonts w:hint="eastAsia" w:ascii="宋体" w:hAnsi="宋体"/>
          <w:b/>
          <w:sz w:val="24"/>
          <w:szCs w:val="24"/>
          <w:highlight w:val="none"/>
        </w:rPr>
        <w:t>报价方必须提供详细的施工组织设计，施工组织设计应包括：主要施工方法；保证工程质量、安全、工期、文明施工的措施；材料、施工机械设备、劳动力计划；施工进度计划；项目管理班子配备情况；施工现场机械、材料进出场计划等</w:t>
      </w:r>
      <w:r>
        <w:rPr>
          <w:rFonts w:hint="eastAsia" w:ascii="宋体" w:hAnsi="宋体" w:cs="宋体"/>
          <w:b/>
          <w:sz w:val="24"/>
          <w:szCs w:val="24"/>
          <w:highlight w:val="none"/>
        </w:rPr>
        <w:t>。</w:t>
      </w:r>
    </w:p>
    <w:p>
      <w:pPr>
        <w:numPr>
          <w:ilvl w:val="0"/>
          <w:numId w:val="27"/>
        </w:numPr>
        <w:kinsoku w:val="0"/>
        <w:overflowPunct w:val="0"/>
        <w:adjustRightInd/>
        <w:spacing w:line="400" w:lineRule="atLeast"/>
        <w:jc w:val="left"/>
        <w:textAlignment w:val="auto"/>
        <w:rPr>
          <w:rFonts w:ascii="宋体" w:hAnsi="宋体"/>
          <w:b/>
          <w:bCs/>
          <w:sz w:val="24"/>
          <w:szCs w:val="24"/>
          <w:highlight w:val="none"/>
        </w:rPr>
      </w:pPr>
      <w:r>
        <w:rPr>
          <w:rFonts w:hint="eastAsia" w:ascii="宋体" w:hAnsi="宋体"/>
          <w:b/>
          <w:bCs/>
          <w:sz w:val="24"/>
          <w:szCs w:val="24"/>
          <w:highlight w:val="none"/>
        </w:rPr>
        <w:t>执行标准和规范</w:t>
      </w:r>
    </w:p>
    <w:p>
      <w:pPr>
        <w:autoSpaceDE/>
        <w:autoSpaceDN/>
        <w:snapToGrid w:val="0"/>
        <w:spacing w:line="420" w:lineRule="exact"/>
        <w:jc w:val="left"/>
        <w:textAlignment w:val="auto"/>
        <w:rPr>
          <w:rFonts w:ascii="宋体" w:hAnsi="Calibri" w:cs="宋体"/>
          <w:b/>
          <w:bCs/>
          <w:color w:val="000000"/>
          <w:sz w:val="24"/>
          <w:szCs w:val="24"/>
          <w:highlight w:val="none"/>
        </w:rPr>
      </w:pPr>
      <w:r>
        <w:rPr>
          <w:rFonts w:hint="eastAsia" w:ascii="宋体" w:hAnsi="宋体" w:cs="宋体"/>
          <w:kern w:val="2"/>
          <w:sz w:val="24"/>
          <w:szCs w:val="24"/>
          <w:highlight w:val="none"/>
        </w:rPr>
        <w:t>详见第六部分技术规范书。</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质量要求及售后服务</w:t>
      </w:r>
    </w:p>
    <w:p>
      <w:pPr>
        <w:tabs>
          <w:tab w:val="left" w:pos="0"/>
        </w:tabs>
        <w:kinsoku w:val="0"/>
        <w:overflowPunct w:val="0"/>
        <w:adjustRightInd/>
        <w:spacing w:line="400" w:lineRule="atLeast"/>
        <w:jc w:val="left"/>
        <w:textAlignment w:val="auto"/>
        <w:rPr>
          <w:rFonts w:ascii="宋体" w:hAnsi="宋体"/>
          <w:sz w:val="24"/>
          <w:szCs w:val="24"/>
          <w:highlight w:val="none"/>
        </w:rPr>
      </w:pPr>
      <w:bookmarkStart w:id="95" w:name="_Toc8124_WPSOffice_Level2"/>
      <w:bookmarkStart w:id="96" w:name="_Toc4436_WPSOffice_Level2"/>
      <w:bookmarkStart w:id="97" w:name="_Toc24065_WPSOffice_Level2"/>
      <w:bookmarkStart w:id="98" w:name="_Toc5232_WPSOffice_Level2"/>
      <w:r>
        <w:rPr>
          <w:rFonts w:hint="eastAsia" w:ascii="宋体" w:hAnsi="宋体"/>
          <w:sz w:val="24"/>
          <w:szCs w:val="24"/>
          <w:highlight w:val="none"/>
        </w:rPr>
        <w:t>3.1 报价人应在报价文件中提供详细的质量保证和售后服务方案承诺书，并加盖报价人公章。</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3.2 质量保证期为项目经采购方组织验收，最终验收合格之日起12个月。在质保期内发生问题，成交供应商必须在24小时内到达现场，提交确实可行的方案并解决问题，其费用由成交供应商自行负责。</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3.3 质量要求：报价方必须保证提供原产、正宗品牌的全新材料，不得用假冒及伪劣材料替代；如出现上述质量问题，采购方有权要求退货；如造成损失的，采购方可要求成交供应商给予赔偿。</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验收标准</w:t>
      </w:r>
      <w:bookmarkEnd w:id="95"/>
      <w:bookmarkEnd w:id="96"/>
      <w:bookmarkEnd w:id="97"/>
      <w:bookmarkEnd w:id="98"/>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4.1 报价方应承诺确保按图纸及技术规范书的要求进行施工，直至通过采购方验收并交付采购方使用。</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4.2 本次施工采用的设备、材料、安全设施等必须符合国家的标准规定。</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4.3 施工验收标准应符合相应的中华人民共和国国家标准及谈判文件规定的技术要求，按设计要求及相关技术规定和规范，组织有关人员进行现场验收。</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bCs/>
          <w:sz w:val="24"/>
          <w:szCs w:val="24"/>
          <w:highlight w:val="none"/>
        </w:rPr>
      </w:pPr>
      <w:r>
        <w:rPr>
          <w:rFonts w:hint="eastAsia" w:ascii="宋体" w:hAnsi="宋体" w:eastAsia="宋体"/>
          <w:b w:val="0"/>
          <w:bCs/>
          <w:sz w:val="24"/>
          <w:szCs w:val="24"/>
          <w:highlight w:val="none"/>
        </w:rPr>
        <w:t>4.4 验收依据：谈判文件、报价文件、图纸、厂家货物技术标准说明及国家有关的质量标准规定，均为验收依据。</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5 报价方式及付款方式</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宋体" w:cs="宋体"/>
          <w:sz w:val="24"/>
          <w:szCs w:val="24"/>
          <w:highlight w:val="none"/>
        </w:rPr>
        <w:t xml:space="preserve">5.1 </w:t>
      </w:r>
      <w:r>
        <w:rPr>
          <w:rFonts w:hint="eastAsia" w:ascii="宋体" w:hAnsi="宋体"/>
          <w:sz w:val="24"/>
          <w:szCs w:val="24"/>
          <w:highlight w:val="none"/>
        </w:rPr>
        <w:t>报价方须以人民币报价，报价应含施工费、辅材费、人工费、措施费、税费等至检验合格后交付采购方使用的全部费用，报价方式为交钥匙总包价。报价为含税报价，税率为9％增值税专用发票，未说明是否含税报价一律视为含税价。</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5.2 付款方式</w:t>
      </w:r>
    </w:p>
    <w:p>
      <w:pPr>
        <w:pStyle w:val="81"/>
        <w:tabs>
          <w:tab w:val="left" w:pos="0"/>
        </w:tabs>
        <w:autoSpaceDE/>
        <w:autoSpaceDN/>
        <w:adjustRightInd/>
        <w:spacing w:line="400" w:lineRule="atLeast"/>
        <w:ind w:firstLine="0" w:firstLineChars="0"/>
        <w:textAlignment w:val="auto"/>
        <w:rPr>
          <w:rFonts w:ascii="宋体" w:hAnsi="宋体"/>
          <w:sz w:val="24"/>
          <w:szCs w:val="24"/>
          <w:highlight w:val="none"/>
        </w:rPr>
      </w:pPr>
      <w:r>
        <w:rPr>
          <w:rFonts w:hint="eastAsia" w:ascii="宋体" w:hAnsi="Calibri" w:cs="宋体"/>
          <w:color w:val="000000"/>
          <w:sz w:val="24"/>
          <w:szCs w:val="24"/>
          <w:highlight w:val="none"/>
        </w:rPr>
        <w:t xml:space="preserve">5.2.1 </w:t>
      </w:r>
      <w:r>
        <w:rPr>
          <w:rFonts w:hint="eastAsia" w:ascii="宋体" w:hAnsi="宋体"/>
          <w:sz w:val="24"/>
          <w:szCs w:val="24"/>
          <w:highlight w:val="none"/>
        </w:rPr>
        <w:t>合同正式签订生效，乙方完成</w:t>
      </w:r>
      <w:r>
        <w:rPr>
          <w:rFonts w:hint="eastAsia" w:ascii="宋体" w:hAnsi="宋体" w:cs="宋体"/>
          <w:sz w:val="24"/>
          <w:szCs w:val="24"/>
          <w:highlight w:val="none"/>
        </w:rPr>
        <w:t>三台锅炉出口隔离阀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宋体" w:cs="宋体"/>
          <w:sz w:val="24"/>
          <w:szCs w:val="24"/>
          <w:highlight w:val="none"/>
          <w:lang w:val="en-US" w:eastAsia="zh-CN"/>
        </w:rPr>
        <w:t>及其管道</w:t>
      </w:r>
      <w:r>
        <w:rPr>
          <w:rFonts w:hint="eastAsia" w:ascii="宋体" w:hAnsi="宋体" w:cs="宋体"/>
          <w:sz w:val="24"/>
          <w:szCs w:val="24"/>
          <w:highlight w:val="none"/>
        </w:rPr>
        <w:t>更换</w:t>
      </w:r>
      <w:r>
        <w:rPr>
          <w:rFonts w:hint="eastAsia" w:ascii="宋体" w:hAnsi="宋体"/>
          <w:sz w:val="24"/>
          <w:szCs w:val="24"/>
          <w:highlight w:val="none"/>
        </w:rPr>
        <w:t>。经验收合格，采购方收到成交供应商合同总价的30%增值税专用发票后，15个工作日内采购方支付成交供应商合同总价的30%款项作为进度款</w:t>
      </w:r>
      <w:r>
        <w:rPr>
          <w:rFonts w:hint="eastAsia" w:ascii="宋体" w:hAnsi="Calibri" w:cs="宋体"/>
          <w:color w:val="000000"/>
          <w:sz w:val="24"/>
          <w:szCs w:val="24"/>
          <w:highlight w:val="none"/>
        </w:rPr>
        <w:t>。</w:t>
      </w:r>
      <w:bookmarkStart w:id="99" w:name="_Toc21785_WPSOffice_Level2"/>
      <w:bookmarkStart w:id="100" w:name="_Toc15066_WPSOffice_Level2"/>
      <w:bookmarkStart w:id="101" w:name="_Toc12068_WPSOffice_Level2"/>
      <w:bookmarkStart w:id="102" w:name="_Toc11922_WPSOffice_Level2"/>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宋体"/>
          <w:sz w:val="24"/>
          <w:szCs w:val="24"/>
          <w:highlight w:val="none"/>
        </w:rPr>
        <w:t>5.2.2 乙方完成一台</w:t>
      </w:r>
      <w:r>
        <w:rPr>
          <w:rFonts w:ascii="宋体" w:hAnsi="Calibri" w:cs="宋体"/>
          <w:color w:val="000000"/>
          <w:sz w:val="24"/>
          <w:szCs w:val="24"/>
          <w:highlight w:val="none"/>
        </w:rPr>
        <w:t>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w:t>
      </w:r>
      <w:r>
        <w:rPr>
          <w:rFonts w:hint="eastAsia" w:ascii="宋体" w:hAnsi="宋体"/>
          <w:sz w:val="24"/>
          <w:szCs w:val="24"/>
          <w:highlight w:val="none"/>
        </w:rPr>
        <w:t>经验收合格（单台单次验收），采购方收到成交供应商合同总价的20%增值税专用发票后，15个工作日内采购方支付成交供应商合同总价的20%款项作为进度款</w:t>
      </w:r>
      <w:r>
        <w:rPr>
          <w:rFonts w:hint="eastAsia" w:ascii="宋体" w:hAnsi="Calibri" w:cs="宋体"/>
          <w:color w:val="000000"/>
          <w:sz w:val="24"/>
          <w:szCs w:val="24"/>
          <w:highlight w:val="none"/>
        </w:rPr>
        <w:t>。</w:t>
      </w:r>
    </w:p>
    <w:p>
      <w:pPr>
        <w:pStyle w:val="6"/>
        <w:keepNext w:val="0"/>
        <w:keepLines w:val="0"/>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5.2.3 成交供应商完成本项目全部施工，收到完整的竣工资料及监检报告，工程经验收合格。采购方收到成交供应商合同至合同全额增值税发票后，15个工作日内采购方支付成交供应商至合同总价的97%。</w:t>
      </w:r>
    </w:p>
    <w:p>
      <w:pPr>
        <w:pStyle w:val="6"/>
        <w:keepNext w:val="0"/>
        <w:keepLines w:val="0"/>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5.2.4 预留3%作为质保金，质保期满无质量问题后，采购方无息付清质保金。</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6 其他事项</w:t>
      </w:r>
      <w:bookmarkEnd w:id="99"/>
      <w:bookmarkEnd w:id="100"/>
      <w:bookmarkEnd w:id="101"/>
      <w:bookmarkEnd w:id="102"/>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6.1 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6.2 确定成交供应商后，成交供应商应严格依据谈判文件及报价文件签订合同，并依据施工合同履行义务，如有违约，采购方有权追究违约方的违约责任。</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6.3 报价方认为需采购方配合的事宜。</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6.4 报价方若有其它方面的特殊功能、附加功能及优惠条件，必须在报价文件中注明。</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6.5 成交供应商必须于成交通知书发出之日起，10日内领取成交通知书原件，未按规定领取的，视为成交供应商放弃成交资格。</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6.6 报价方应如实提供所有资料的相关复印件，必要时采购方将保留要求报价方提供原件予以核查的权利。</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6.7 报价方认为有必要提供的其它技术资料。</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6.8 响应报价文件有效期。响应报价文件有效期60天，在此期间内，所有报价文件均保持有效。</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6"/>
        <w:keepNext w:val="0"/>
        <w:keepLines w:val="0"/>
        <w:kinsoku w:val="0"/>
        <w:overflowPunct w:val="0"/>
        <w:snapToGrid w:val="0"/>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第四部分 合同主要条款</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9286" w:type="dxa"/>
          </w:tcPr>
          <w:p>
            <w:pPr>
              <w:kinsoku w:val="0"/>
              <w:overflowPunct w:val="0"/>
              <w:snapToGrid w:val="0"/>
              <w:spacing w:line="380" w:lineRule="exact"/>
              <w:rPr>
                <w:rFonts w:ascii="宋体" w:hAnsi="宋体" w:cs="宋体"/>
                <w:sz w:val="24"/>
                <w:szCs w:val="24"/>
                <w:highlight w:val="none"/>
              </w:rPr>
            </w:pPr>
            <w:r>
              <w:rPr>
                <w:rFonts w:hint="eastAsia" w:ascii="宋体" w:hAnsi="宋体" w:cs="宋体"/>
                <w:sz w:val="24"/>
                <w:szCs w:val="24"/>
                <w:highlight w:val="none"/>
              </w:rPr>
              <w:t xml:space="preserve">注释： </w:t>
            </w:r>
          </w:p>
          <w:p>
            <w:pPr>
              <w:kinsoku w:val="0"/>
              <w:overflowPunct w:val="0"/>
              <w:snapToGri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autoSpaceDN/>
        <w:snapToGrid w:val="0"/>
        <w:spacing w:line="400" w:lineRule="atLeast"/>
        <w:ind w:firstLine="482" w:firstLineChars="200"/>
        <w:jc w:val="left"/>
        <w:textAlignment w:val="auto"/>
        <w:rPr>
          <w:rFonts w:ascii="宋体" w:hAnsi="宋体" w:cs="宋体"/>
          <w:sz w:val="24"/>
          <w:szCs w:val="24"/>
          <w:highlight w:val="none"/>
          <w:u w:val="single"/>
        </w:rPr>
      </w:pPr>
      <w:bookmarkStart w:id="103" w:name="_Toc17855_WPSOffice_Level1"/>
      <w:r>
        <w:rPr>
          <w:rFonts w:hint="eastAsia" w:ascii="宋体" w:hAnsi="宋体" w:cs="宋体"/>
          <w:b/>
          <w:sz w:val="24"/>
          <w:szCs w:val="24"/>
          <w:highlight w:val="none"/>
        </w:rPr>
        <w:t>甲方</w:t>
      </w:r>
      <w:r>
        <w:rPr>
          <w:rFonts w:hint="eastAsia" w:ascii="宋体" w:hAnsi="宋体" w:cs="宋体"/>
          <w:sz w:val="24"/>
          <w:szCs w:val="24"/>
          <w:highlight w:val="none"/>
        </w:rPr>
        <w:t>：</w:t>
      </w:r>
      <w:r>
        <w:rPr>
          <w:rFonts w:hint="eastAsia" w:ascii="宋体" w:hAnsi="宋体" w:cs="宋体"/>
          <w:sz w:val="24"/>
          <w:szCs w:val="24"/>
          <w:highlight w:val="none"/>
          <w:u w:val="single"/>
        </w:rPr>
        <w:t>厦门海发环保能源股份有限公司</w:t>
      </w:r>
      <w:bookmarkEnd w:id="103"/>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住所地：厦门市海沧区阳光西路288号</w:t>
      </w:r>
    </w:p>
    <w:p>
      <w:pPr>
        <w:kinsoku w:val="0"/>
        <w:overflowPunct w:val="0"/>
        <w:autoSpaceDE/>
        <w:autoSpaceDN/>
        <w:snapToGrid w:val="0"/>
        <w:spacing w:line="400" w:lineRule="atLeast"/>
        <w:ind w:firstLine="482" w:firstLineChars="200"/>
        <w:jc w:val="left"/>
        <w:textAlignment w:val="auto"/>
        <w:outlineLvl w:val="0"/>
        <w:rPr>
          <w:rFonts w:ascii="宋体" w:hAnsi="宋体" w:cs="宋体"/>
          <w:sz w:val="24"/>
          <w:szCs w:val="24"/>
          <w:highlight w:val="none"/>
          <w:u w:val="single"/>
        </w:rPr>
      </w:pPr>
      <w:bookmarkStart w:id="104"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104"/>
      <w:r>
        <w:rPr>
          <w:rFonts w:hint="eastAsia" w:ascii="宋体" w:hAnsi="宋体" w:cs="宋体"/>
          <w:kern w:val="2"/>
          <w:sz w:val="24"/>
          <w:szCs w:val="24"/>
          <w:highlight w:val="none"/>
          <w:u w:val="single"/>
        </w:rPr>
        <w:t xml:space="preserve">                                 </w:t>
      </w:r>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kinsoku w:val="0"/>
        <w:overflowPunct w:val="0"/>
        <w:autoSpaceDE/>
        <w:autoSpaceDN/>
        <w:snapToGrid w:val="0"/>
        <w:spacing w:line="38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根据《中华人民共和国民法典》及有关法律、法规，</w:t>
      </w:r>
      <w:r>
        <w:rPr>
          <w:rFonts w:hAnsi="宋体"/>
          <w:sz w:val="24"/>
          <w:szCs w:val="24"/>
          <w:highlight w:val="none"/>
        </w:rPr>
        <w:t>甲、乙双方本着精诚合作、互惠互利的原则，</w:t>
      </w:r>
      <w:r>
        <w:rPr>
          <w:rFonts w:hint="eastAsia" w:hAnsi="宋体"/>
          <w:sz w:val="24"/>
          <w:szCs w:val="24"/>
          <w:highlight w:val="none"/>
        </w:rPr>
        <w:t>就甲</w:t>
      </w:r>
      <w:r>
        <w:rPr>
          <w:rFonts w:hint="eastAsia" w:ascii="宋体" w:hAnsi="宋体" w:cs="宋体"/>
          <w:sz w:val="24"/>
          <w:szCs w:val="24"/>
          <w:highlight w:val="none"/>
        </w:rPr>
        <w:t>方锅炉汽水系统管道及主蒸汽阀门更换项目，经双方协商一致，签订本合同，供双方共同遵守。</w:t>
      </w:r>
    </w:p>
    <w:p>
      <w:pPr>
        <w:pStyle w:val="81"/>
        <w:tabs>
          <w:tab w:val="left" w:pos="0"/>
        </w:tabs>
        <w:autoSpaceDE/>
        <w:autoSpaceDN/>
        <w:adjustRightInd/>
        <w:spacing w:line="400" w:lineRule="atLeast"/>
        <w:ind w:left="420" w:leftChars="200" w:firstLine="0" w:firstLineChars="0"/>
        <w:textAlignment w:val="auto"/>
        <w:rPr>
          <w:rFonts w:ascii="宋体" w:hAnsi="Calibri" w:cs="宋体"/>
          <w:b/>
          <w:bCs/>
          <w:color w:val="000000"/>
          <w:sz w:val="24"/>
          <w:szCs w:val="24"/>
          <w:highlight w:val="none"/>
        </w:rPr>
      </w:pPr>
      <w:bookmarkStart w:id="105" w:name="_Toc25030_WPSOffice_Level1"/>
      <w:r>
        <w:rPr>
          <w:rFonts w:hint="eastAsia" w:ascii="宋体" w:hAnsi="Calibri" w:cs="宋体"/>
          <w:b/>
          <w:bCs/>
          <w:color w:val="000000"/>
          <w:sz w:val="24"/>
          <w:szCs w:val="24"/>
          <w:highlight w:val="none"/>
        </w:rPr>
        <w:t>1.项目概况</w:t>
      </w:r>
      <w:bookmarkEnd w:id="105"/>
    </w:p>
    <w:p>
      <w:pPr>
        <w:pStyle w:val="81"/>
        <w:numPr>
          <w:ilvl w:val="0"/>
          <w:numId w:val="29"/>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项目名称：</w:t>
      </w:r>
      <w:r>
        <w:rPr>
          <w:rFonts w:hint="eastAsia" w:ascii="宋体" w:hAnsi="宋体"/>
          <w:bCs/>
          <w:sz w:val="24"/>
          <w:szCs w:val="24"/>
          <w:highlight w:val="none"/>
        </w:rPr>
        <w:t>锅炉汽水系统管道及主蒸汽阀门更换项目</w:t>
      </w:r>
      <w:r>
        <w:rPr>
          <w:rFonts w:hint="eastAsia" w:ascii="宋体" w:hAnsi="Calibri" w:cs="宋体"/>
          <w:color w:val="000000"/>
          <w:sz w:val="24"/>
          <w:szCs w:val="24"/>
          <w:highlight w:val="none"/>
        </w:rPr>
        <w:t xml:space="preserve">。 </w:t>
      </w:r>
    </w:p>
    <w:p>
      <w:pPr>
        <w:pStyle w:val="81"/>
        <w:numPr>
          <w:ilvl w:val="0"/>
          <w:numId w:val="29"/>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项目地点：厦门海发环保能源股份有限公司新阳热电厂区。</w:t>
      </w:r>
    </w:p>
    <w:p>
      <w:pPr>
        <w:pStyle w:val="81"/>
        <w:numPr>
          <w:ilvl w:val="0"/>
          <w:numId w:val="29"/>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项目内容：</w:t>
      </w:r>
      <w:r>
        <w:rPr>
          <w:rFonts w:hint="eastAsia" w:ascii="宋体" w:hAnsi="宋体" w:cs="宋体"/>
          <w:sz w:val="24"/>
          <w:szCs w:val="24"/>
          <w:highlight w:val="none"/>
        </w:rPr>
        <w:t>按谈判文件及图纸要求，</w:t>
      </w:r>
      <w:r>
        <w:rPr>
          <w:rFonts w:hint="eastAsia" w:ascii="宋体" w:hAnsi="宋体"/>
          <w:sz w:val="24"/>
          <w:szCs w:val="24"/>
          <w:highlight w:val="none"/>
        </w:rPr>
        <w:t>乙方负责以下施工内容：</w:t>
      </w:r>
    </w:p>
    <w:p>
      <w:pPr>
        <w:pStyle w:val="81"/>
        <w:tabs>
          <w:tab w:val="left" w:pos="0"/>
        </w:tabs>
        <w:autoSpaceDE/>
        <w:autoSpaceDN/>
        <w:adjustRightInd/>
        <w:spacing w:line="400" w:lineRule="atLeast"/>
        <w:ind w:firstLine="480"/>
        <w:textAlignment w:val="auto"/>
        <w:rPr>
          <w:rFonts w:ascii="宋体" w:hAnsi="宋体" w:cs="宋体"/>
          <w:sz w:val="24"/>
          <w:szCs w:val="24"/>
          <w:highlight w:val="none"/>
        </w:rPr>
      </w:pPr>
      <w:r>
        <w:rPr>
          <w:rFonts w:hint="eastAsia" w:ascii="宋体" w:hAnsi="宋体"/>
          <w:sz w:val="24"/>
          <w:szCs w:val="24"/>
          <w:highlight w:val="none"/>
        </w:rPr>
        <w:t>（1）三</w:t>
      </w:r>
      <w:r>
        <w:rPr>
          <w:rFonts w:hint="eastAsia" w:ascii="宋体" w:hAnsi="Calibri" w:cs="宋体"/>
          <w:color w:val="000000"/>
          <w:sz w:val="24"/>
          <w:szCs w:val="24"/>
          <w:highlight w:val="none"/>
        </w:rPr>
        <w:t>台</w:t>
      </w:r>
      <w:r>
        <w:rPr>
          <w:rFonts w:ascii="宋体" w:hAnsi="Calibri" w:cs="宋体"/>
          <w:color w:val="000000"/>
          <w:sz w:val="24"/>
          <w:szCs w:val="24"/>
          <w:highlight w:val="none"/>
        </w:rPr>
        <w:t>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w:t>
      </w:r>
    </w:p>
    <w:p>
      <w:pPr>
        <w:pStyle w:val="81"/>
        <w:tabs>
          <w:tab w:val="left" w:pos="0"/>
        </w:tabs>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宋体" w:cs="宋体"/>
          <w:sz w:val="24"/>
          <w:szCs w:val="24"/>
          <w:highlight w:val="none"/>
        </w:rPr>
        <w:t>（2）三台锅炉出口隔离阀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宋体" w:cs="宋体"/>
          <w:sz w:val="24"/>
          <w:szCs w:val="24"/>
          <w:highlight w:val="none"/>
          <w:lang w:val="en-US" w:eastAsia="zh-CN"/>
        </w:rPr>
        <w:t>及其管道</w:t>
      </w:r>
      <w:r>
        <w:rPr>
          <w:rFonts w:hint="eastAsia" w:ascii="宋体" w:hAnsi="宋体" w:cs="宋体"/>
          <w:sz w:val="24"/>
          <w:szCs w:val="24"/>
          <w:highlight w:val="none"/>
        </w:rPr>
        <w:t>更换（需在2023年春节期间停运检修期间更换）。</w:t>
      </w:r>
    </w:p>
    <w:p>
      <w:pPr>
        <w:pStyle w:val="81"/>
        <w:tabs>
          <w:tab w:val="left" w:pos="0"/>
        </w:tabs>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宋体" w:cs="宋体"/>
          <w:sz w:val="24"/>
          <w:szCs w:val="24"/>
          <w:highlight w:val="none"/>
        </w:rPr>
        <w:t>本项目更换件管道、阀门、大小头由甲方提供。工程施工范围内所涉及的脚手架搭拆、保温（材料、拆除及恢复）及</w:t>
      </w:r>
      <w:r>
        <w:rPr>
          <w:rFonts w:hint="eastAsia" w:ascii="宋体" w:hAnsi="宋体" w:cs="宋体"/>
          <w:bCs/>
          <w:sz w:val="24"/>
          <w:szCs w:val="24"/>
          <w:highlight w:val="none"/>
        </w:rPr>
        <w:t>安装过程中所需的辅材及工器具全部由乙方提供</w:t>
      </w:r>
      <w:r>
        <w:rPr>
          <w:rFonts w:hint="eastAsia" w:ascii="宋体" w:hAnsi="宋体"/>
          <w:sz w:val="24"/>
          <w:szCs w:val="24"/>
          <w:highlight w:val="none"/>
        </w:rPr>
        <w:t>。施工之前乙方需向厦门特检院按相关规定办理压力管道安装、维修告知等手续，改造范围内的环焊缝必须进行100%射线检验（无法进行射线检测的改为超声波检测），角焊缝进行100%磁粉检测。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无损检测费用由乙方负责</w:t>
      </w:r>
      <w:r>
        <w:rPr>
          <w:rFonts w:hint="eastAsia" w:ascii="宋体" w:hAnsi="宋体"/>
          <w:sz w:val="24"/>
          <w:szCs w:val="24"/>
          <w:highlight w:val="none"/>
          <w:lang w:eastAsia="zh-CN"/>
        </w:rPr>
        <w:t>）。</w:t>
      </w:r>
      <w:r>
        <w:rPr>
          <w:rFonts w:hint="eastAsia" w:ascii="宋体" w:hAnsi="宋体"/>
          <w:sz w:val="24"/>
          <w:szCs w:val="24"/>
          <w:highlight w:val="none"/>
        </w:rPr>
        <w:t>乙</w:t>
      </w:r>
      <w:r>
        <w:rPr>
          <w:rFonts w:hint="eastAsia" w:ascii="宋体" w:hAnsi="宋体" w:cs="宋体"/>
          <w:sz w:val="24"/>
          <w:szCs w:val="24"/>
          <w:highlight w:val="none"/>
        </w:rPr>
        <w:t>方负责将施工范围内拆除下来的管道、阀门等施工废料统一运至甲方厂区指定位置堆放。施工结束后清理现场，清运施工垃圾，做到工完料净场地清。</w:t>
      </w:r>
    </w:p>
    <w:p>
      <w:pPr>
        <w:pStyle w:val="81"/>
        <w:numPr>
          <w:ilvl w:val="0"/>
          <w:numId w:val="29"/>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承包方式：总承包，本工程采用固定单价合同。</w:t>
      </w:r>
    </w:p>
    <w:p>
      <w:pPr>
        <w:pStyle w:val="81"/>
        <w:numPr>
          <w:ilvl w:val="0"/>
          <w:numId w:val="29"/>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工期要求：</w:t>
      </w:r>
      <w:r>
        <w:rPr>
          <w:rFonts w:hint="eastAsia" w:ascii="宋体" w:hAnsi="宋体"/>
          <w:bCs/>
          <w:sz w:val="24"/>
          <w:szCs w:val="24"/>
          <w:highlight w:val="none"/>
        </w:rPr>
        <w:t>合同签订生效后，本项目分两阶段进行施工。</w:t>
      </w:r>
    </w:p>
    <w:p>
      <w:pPr>
        <w:pStyle w:val="81"/>
        <w:tabs>
          <w:tab w:val="left" w:pos="0"/>
        </w:tabs>
        <w:autoSpaceDE/>
        <w:autoSpaceDN/>
        <w:adjustRightInd/>
        <w:spacing w:line="400" w:lineRule="atLeast"/>
        <w:ind w:firstLine="480"/>
        <w:textAlignment w:val="auto"/>
        <w:rPr>
          <w:rFonts w:ascii="宋体" w:hAnsi="宋体" w:cs="宋体"/>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甲方</w:t>
      </w:r>
      <w:r>
        <w:rPr>
          <w:rFonts w:hint="eastAsia" w:ascii="宋体" w:hAnsi="宋体" w:cs="宋体"/>
          <w:bCs/>
          <w:sz w:val="24"/>
          <w:szCs w:val="24"/>
          <w:highlight w:val="none"/>
        </w:rPr>
        <w:t>根据实际生产情况安排三台锅炉</w:t>
      </w:r>
      <w:r>
        <w:rPr>
          <w:rFonts w:ascii="宋体" w:hAnsi="Calibri" w:cs="宋体"/>
          <w:color w:val="000000"/>
          <w:sz w:val="24"/>
          <w:szCs w:val="24"/>
          <w:highlight w:val="none"/>
        </w:rPr>
        <w:t>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w:t>
      </w:r>
      <w:r>
        <w:rPr>
          <w:rFonts w:hint="eastAsia" w:ascii="宋体" w:hAnsi="宋体" w:cs="宋体"/>
          <w:sz w:val="24"/>
          <w:szCs w:val="24"/>
          <w:highlight w:val="none"/>
          <w:lang w:val="en-US" w:eastAsia="zh-CN"/>
        </w:rPr>
        <w:t>乙</w:t>
      </w:r>
      <w:r>
        <w:rPr>
          <w:rFonts w:hint="eastAsia" w:ascii="宋体" w:hAnsi="宋体" w:cs="宋体"/>
          <w:sz w:val="24"/>
          <w:szCs w:val="24"/>
          <w:highlight w:val="none"/>
        </w:rPr>
        <w:t>方接</w:t>
      </w:r>
      <w:r>
        <w:rPr>
          <w:rFonts w:hint="eastAsia" w:ascii="宋体" w:hAnsi="宋体" w:cs="宋体"/>
          <w:bCs/>
          <w:sz w:val="24"/>
          <w:szCs w:val="24"/>
          <w:highlight w:val="none"/>
          <w:lang w:val="en-US" w:eastAsia="zh-CN"/>
        </w:rPr>
        <w:t>甲方</w:t>
      </w:r>
      <w:r>
        <w:rPr>
          <w:rFonts w:hint="eastAsia" w:ascii="宋体" w:hAnsi="宋体" w:cs="宋体"/>
          <w:sz w:val="24"/>
          <w:szCs w:val="24"/>
          <w:highlight w:val="none"/>
        </w:rPr>
        <w:t>通知后，</w:t>
      </w:r>
      <w:r>
        <w:rPr>
          <w:rFonts w:hint="eastAsia" w:ascii="宋体" w:hAnsi="宋体" w:cs="宋体"/>
          <w:bCs/>
          <w:sz w:val="24"/>
          <w:szCs w:val="24"/>
          <w:highlight w:val="none"/>
        </w:rPr>
        <w:t>每台锅炉施工工期从开工日起7天内完成</w:t>
      </w:r>
      <w:r>
        <w:rPr>
          <w:rFonts w:hint="eastAsia" w:ascii="宋体" w:hAnsi="宋体" w:cs="宋体"/>
          <w:sz w:val="24"/>
          <w:szCs w:val="24"/>
          <w:highlight w:val="none"/>
        </w:rPr>
        <w:t>工程范围内全部工作内容，使设备具备投运条件。</w:t>
      </w:r>
    </w:p>
    <w:p>
      <w:pPr>
        <w:pStyle w:val="81"/>
        <w:tabs>
          <w:tab w:val="left" w:pos="0"/>
        </w:tabs>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宋体" w:cs="宋体"/>
          <w:sz w:val="24"/>
          <w:szCs w:val="24"/>
          <w:highlight w:val="none"/>
        </w:rPr>
        <w:t>（2）三台锅炉出口隔离阀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宋体" w:cs="宋体"/>
          <w:sz w:val="24"/>
          <w:szCs w:val="24"/>
          <w:highlight w:val="none"/>
          <w:lang w:val="en-US" w:eastAsia="zh-CN"/>
        </w:rPr>
        <w:t>及其管道</w:t>
      </w:r>
      <w:r>
        <w:rPr>
          <w:rFonts w:hint="eastAsia" w:ascii="宋体" w:hAnsi="宋体" w:cs="宋体"/>
          <w:sz w:val="24"/>
          <w:szCs w:val="24"/>
          <w:highlight w:val="none"/>
        </w:rPr>
        <w:t>更换</w:t>
      </w:r>
      <w:r>
        <w:rPr>
          <w:rFonts w:hint="eastAsia" w:ascii="宋体" w:hAnsi="宋体" w:cs="宋体"/>
          <w:bCs/>
          <w:sz w:val="24"/>
          <w:szCs w:val="24"/>
          <w:highlight w:val="none"/>
        </w:rPr>
        <w:t>。</w:t>
      </w:r>
      <w:r>
        <w:rPr>
          <w:rFonts w:hint="eastAsia" w:ascii="宋体" w:hAnsi="宋体" w:cs="宋体"/>
          <w:sz w:val="24"/>
          <w:szCs w:val="24"/>
          <w:highlight w:val="none"/>
          <w:lang w:val="en-US" w:eastAsia="zh-CN"/>
        </w:rPr>
        <w:t>乙</w:t>
      </w:r>
      <w:r>
        <w:rPr>
          <w:rFonts w:hint="eastAsia" w:ascii="宋体" w:hAnsi="宋体" w:cs="宋体"/>
          <w:sz w:val="24"/>
          <w:szCs w:val="24"/>
          <w:highlight w:val="none"/>
        </w:rPr>
        <w:t>方接</w:t>
      </w:r>
      <w:r>
        <w:rPr>
          <w:rFonts w:hint="eastAsia" w:ascii="宋体" w:hAnsi="宋体" w:cs="宋体"/>
          <w:bCs/>
          <w:sz w:val="24"/>
          <w:szCs w:val="24"/>
          <w:highlight w:val="none"/>
          <w:lang w:val="en-US" w:eastAsia="zh-CN"/>
        </w:rPr>
        <w:t>甲方</w:t>
      </w:r>
      <w:r>
        <w:rPr>
          <w:rFonts w:hint="eastAsia" w:ascii="宋体" w:hAnsi="宋体" w:cs="宋体"/>
          <w:sz w:val="24"/>
          <w:szCs w:val="24"/>
          <w:highlight w:val="none"/>
        </w:rPr>
        <w:t>通知后，</w:t>
      </w:r>
      <w:r>
        <w:rPr>
          <w:rFonts w:hint="eastAsia" w:ascii="宋体" w:hAnsi="宋体" w:cs="宋体"/>
          <w:sz w:val="24"/>
          <w:szCs w:val="24"/>
          <w:highlight w:val="none"/>
          <w:lang w:val="en-US" w:eastAsia="zh-CN"/>
        </w:rPr>
        <w:t>5</w:t>
      </w:r>
      <w:r>
        <w:rPr>
          <w:rFonts w:hint="eastAsia" w:ascii="宋体" w:hAnsi="宋体" w:cs="宋体"/>
          <w:sz w:val="24"/>
          <w:szCs w:val="24"/>
          <w:highlight w:val="none"/>
        </w:rPr>
        <w:t>天内完成工程范围内全部工作内容，使设备具备投运条件。本项目工程可停运设备供</w:t>
      </w:r>
      <w:r>
        <w:rPr>
          <w:rFonts w:hint="eastAsia" w:ascii="宋体" w:hAnsi="宋体" w:cs="宋体"/>
          <w:sz w:val="24"/>
          <w:szCs w:val="24"/>
          <w:highlight w:val="none"/>
          <w:lang w:val="en-US" w:eastAsia="zh-CN"/>
        </w:rPr>
        <w:t>乙方</w:t>
      </w:r>
      <w:r>
        <w:rPr>
          <w:rFonts w:hint="eastAsia" w:ascii="宋体" w:hAnsi="宋体" w:cs="宋体"/>
          <w:sz w:val="24"/>
          <w:szCs w:val="24"/>
          <w:highlight w:val="none"/>
        </w:rPr>
        <w:t>施工在2023年春节期间，因此</w:t>
      </w:r>
      <w:r>
        <w:rPr>
          <w:rFonts w:hint="eastAsia" w:ascii="宋体" w:hAnsi="宋体" w:cs="宋体"/>
          <w:sz w:val="24"/>
          <w:szCs w:val="24"/>
          <w:highlight w:val="none"/>
          <w:lang w:val="en-US" w:eastAsia="zh-CN"/>
        </w:rPr>
        <w:t>乙方</w:t>
      </w:r>
      <w:r>
        <w:rPr>
          <w:rFonts w:hint="eastAsia" w:ascii="宋体" w:hAnsi="宋体" w:cs="宋体"/>
          <w:sz w:val="24"/>
          <w:szCs w:val="24"/>
          <w:highlight w:val="none"/>
        </w:rPr>
        <w:t>需提前做好开工前准备工作，确保工作有序、按期完成，不影响</w:t>
      </w:r>
      <w:r>
        <w:rPr>
          <w:rFonts w:hint="eastAsia" w:ascii="宋体" w:hAnsi="宋体" w:cs="宋体"/>
          <w:sz w:val="24"/>
          <w:szCs w:val="24"/>
          <w:highlight w:val="none"/>
          <w:lang w:val="en-US" w:eastAsia="zh-CN"/>
        </w:rPr>
        <w:t>甲方</w:t>
      </w:r>
      <w:r>
        <w:rPr>
          <w:rFonts w:hint="eastAsia" w:ascii="宋体" w:hAnsi="宋体" w:cs="宋体"/>
          <w:sz w:val="24"/>
          <w:szCs w:val="24"/>
          <w:highlight w:val="none"/>
        </w:rPr>
        <w:t>正常计划生产时间。</w:t>
      </w:r>
    </w:p>
    <w:p>
      <w:pPr>
        <w:pStyle w:val="81"/>
        <w:tabs>
          <w:tab w:val="left" w:pos="0"/>
        </w:tabs>
        <w:autoSpaceDE/>
        <w:autoSpaceDN/>
        <w:adjustRightInd/>
        <w:spacing w:line="400" w:lineRule="atLeast"/>
        <w:ind w:left="420" w:leftChars="200"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2.合同价款及付款方式</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 合同价款（含9%税）：人民币             元 。</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2.2 付款方式</w:t>
      </w:r>
    </w:p>
    <w:p>
      <w:pPr>
        <w:pStyle w:val="81"/>
        <w:tabs>
          <w:tab w:val="left" w:pos="0"/>
        </w:tabs>
        <w:autoSpaceDE/>
        <w:autoSpaceDN/>
        <w:adjustRightInd/>
        <w:spacing w:line="400" w:lineRule="atLeast"/>
        <w:ind w:firstLine="480"/>
        <w:textAlignment w:val="auto"/>
        <w:rPr>
          <w:rFonts w:ascii="宋体" w:hAnsi="宋体"/>
          <w:sz w:val="24"/>
          <w:szCs w:val="24"/>
          <w:highlight w:val="none"/>
        </w:rPr>
      </w:pPr>
      <w:r>
        <w:rPr>
          <w:rFonts w:hint="eastAsia" w:ascii="宋体" w:hAnsi="Calibri" w:cs="宋体"/>
          <w:color w:val="000000"/>
          <w:sz w:val="24"/>
          <w:szCs w:val="24"/>
          <w:highlight w:val="none"/>
        </w:rPr>
        <w:t xml:space="preserve">2.2.1 </w:t>
      </w:r>
      <w:r>
        <w:rPr>
          <w:rFonts w:hint="eastAsia" w:ascii="宋体" w:hAnsi="宋体"/>
          <w:sz w:val="24"/>
          <w:szCs w:val="24"/>
          <w:highlight w:val="none"/>
        </w:rPr>
        <w:t>合同正式签订生效，乙方完成</w:t>
      </w:r>
      <w:r>
        <w:rPr>
          <w:rFonts w:hint="eastAsia" w:ascii="宋体" w:hAnsi="宋体" w:cs="宋体"/>
          <w:sz w:val="24"/>
          <w:szCs w:val="24"/>
          <w:highlight w:val="none"/>
        </w:rPr>
        <w:t>三台锅炉出口隔离阀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宋体" w:cs="宋体"/>
          <w:sz w:val="24"/>
          <w:szCs w:val="24"/>
          <w:highlight w:val="none"/>
          <w:lang w:val="en-US" w:eastAsia="zh-CN"/>
        </w:rPr>
        <w:t>及其管道</w:t>
      </w:r>
      <w:r>
        <w:rPr>
          <w:rFonts w:hint="eastAsia" w:ascii="宋体" w:hAnsi="宋体" w:cs="宋体"/>
          <w:sz w:val="24"/>
          <w:szCs w:val="24"/>
          <w:highlight w:val="none"/>
        </w:rPr>
        <w:t>更换</w:t>
      </w:r>
      <w:r>
        <w:rPr>
          <w:rFonts w:hint="eastAsia" w:ascii="宋体" w:hAnsi="宋体"/>
          <w:sz w:val="24"/>
          <w:szCs w:val="24"/>
          <w:highlight w:val="none"/>
        </w:rPr>
        <w:t>。经验收合格，</w:t>
      </w:r>
      <w:r>
        <w:rPr>
          <w:rFonts w:hint="eastAsia" w:ascii="宋体" w:hAnsi="宋体"/>
          <w:sz w:val="24"/>
          <w:szCs w:val="24"/>
          <w:highlight w:val="none"/>
          <w:lang w:val="en-US" w:eastAsia="zh-CN"/>
        </w:rPr>
        <w:t>甲方</w:t>
      </w:r>
      <w:r>
        <w:rPr>
          <w:rFonts w:hint="eastAsia" w:ascii="宋体" w:hAnsi="宋体"/>
          <w:sz w:val="24"/>
          <w:szCs w:val="24"/>
          <w:highlight w:val="none"/>
        </w:rPr>
        <w:t>收到</w:t>
      </w:r>
      <w:r>
        <w:rPr>
          <w:rFonts w:hint="eastAsia" w:ascii="宋体" w:hAnsi="宋体"/>
          <w:sz w:val="24"/>
          <w:szCs w:val="24"/>
          <w:highlight w:val="none"/>
          <w:lang w:val="en-US" w:eastAsia="zh-CN"/>
        </w:rPr>
        <w:t>乙方</w:t>
      </w:r>
      <w:r>
        <w:rPr>
          <w:rFonts w:hint="eastAsia" w:ascii="宋体" w:hAnsi="宋体"/>
          <w:sz w:val="24"/>
          <w:szCs w:val="24"/>
          <w:highlight w:val="none"/>
        </w:rPr>
        <w:t>合同总价的30%增值税专用发票后，15个工作日内</w:t>
      </w:r>
      <w:r>
        <w:rPr>
          <w:rFonts w:hint="eastAsia" w:ascii="宋体" w:hAnsi="宋体"/>
          <w:sz w:val="24"/>
          <w:szCs w:val="24"/>
          <w:highlight w:val="none"/>
          <w:lang w:val="en-US" w:eastAsia="zh-CN"/>
        </w:rPr>
        <w:t>甲</w:t>
      </w:r>
      <w:r>
        <w:rPr>
          <w:rFonts w:hint="eastAsia" w:ascii="宋体" w:hAnsi="宋体"/>
          <w:sz w:val="24"/>
          <w:szCs w:val="24"/>
          <w:highlight w:val="none"/>
        </w:rPr>
        <w:t>方支付</w:t>
      </w:r>
      <w:r>
        <w:rPr>
          <w:rFonts w:hint="eastAsia" w:ascii="宋体" w:hAnsi="宋体"/>
          <w:sz w:val="24"/>
          <w:szCs w:val="24"/>
          <w:highlight w:val="none"/>
          <w:lang w:val="en-US" w:eastAsia="zh-CN"/>
        </w:rPr>
        <w:t>乙方</w:t>
      </w:r>
      <w:r>
        <w:rPr>
          <w:rFonts w:hint="eastAsia" w:ascii="宋体" w:hAnsi="宋体"/>
          <w:sz w:val="24"/>
          <w:szCs w:val="24"/>
          <w:highlight w:val="none"/>
        </w:rPr>
        <w:t>合同总价的30%款项作为进度款</w:t>
      </w:r>
      <w:r>
        <w:rPr>
          <w:rFonts w:hint="eastAsia" w:ascii="宋体" w:hAnsi="Calibri" w:cs="宋体"/>
          <w:color w:val="000000"/>
          <w:sz w:val="24"/>
          <w:szCs w:val="24"/>
          <w:highlight w:val="none"/>
        </w:rPr>
        <w:t>。</w:t>
      </w:r>
    </w:p>
    <w:p>
      <w:pPr>
        <w:pStyle w:val="81"/>
        <w:tabs>
          <w:tab w:val="left" w:pos="0"/>
        </w:tabs>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宋体"/>
          <w:sz w:val="24"/>
          <w:szCs w:val="24"/>
          <w:highlight w:val="none"/>
        </w:rPr>
        <w:t>2.2.2 乙方完成一台</w:t>
      </w:r>
      <w:r>
        <w:rPr>
          <w:rFonts w:ascii="宋体" w:hAnsi="Calibri" w:cs="宋体"/>
          <w:color w:val="000000"/>
          <w:sz w:val="24"/>
          <w:szCs w:val="24"/>
          <w:highlight w:val="none"/>
        </w:rPr>
        <w:t>锅炉汽水系统管道（给水管道、减温水管道、再循环水管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w:t>
      </w:r>
      <w:r>
        <w:rPr>
          <w:rFonts w:hint="eastAsia" w:ascii="宋体" w:hAnsi="宋体"/>
          <w:sz w:val="24"/>
          <w:szCs w:val="24"/>
          <w:highlight w:val="none"/>
        </w:rPr>
        <w:t>经验收合格（单台单次验收），</w:t>
      </w:r>
      <w:r>
        <w:rPr>
          <w:rFonts w:hint="eastAsia" w:ascii="宋体" w:hAnsi="宋体"/>
          <w:sz w:val="24"/>
          <w:szCs w:val="24"/>
          <w:highlight w:val="none"/>
          <w:lang w:val="en-US" w:eastAsia="zh-CN"/>
        </w:rPr>
        <w:t>甲方</w:t>
      </w:r>
      <w:r>
        <w:rPr>
          <w:rFonts w:hint="eastAsia" w:ascii="宋体" w:hAnsi="宋体"/>
          <w:sz w:val="24"/>
          <w:szCs w:val="24"/>
          <w:highlight w:val="none"/>
        </w:rPr>
        <w:t>收到</w:t>
      </w:r>
      <w:r>
        <w:rPr>
          <w:rFonts w:hint="eastAsia" w:ascii="宋体" w:hAnsi="宋体"/>
          <w:sz w:val="24"/>
          <w:szCs w:val="24"/>
          <w:highlight w:val="none"/>
          <w:lang w:val="en-US" w:eastAsia="zh-CN"/>
        </w:rPr>
        <w:t>乙方</w:t>
      </w:r>
      <w:r>
        <w:rPr>
          <w:rFonts w:hint="eastAsia" w:ascii="宋体" w:hAnsi="宋体"/>
          <w:sz w:val="24"/>
          <w:szCs w:val="24"/>
          <w:highlight w:val="none"/>
        </w:rPr>
        <w:t>合同总价的20%增值税专用发票后，15个工作日内</w:t>
      </w:r>
      <w:r>
        <w:rPr>
          <w:rFonts w:hint="eastAsia" w:ascii="宋体" w:hAnsi="宋体"/>
          <w:sz w:val="24"/>
          <w:szCs w:val="24"/>
          <w:highlight w:val="none"/>
          <w:lang w:val="en-US" w:eastAsia="zh-CN"/>
        </w:rPr>
        <w:t>甲</w:t>
      </w:r>
      <w:r>
        <w:rPr>
          <w:rFonts w:hint="eastAsia" w:ascii="宋体" w:hAnsi="宋体"/>
          <w:sz w:val="24"/>
          <w:szCs w:val="24"/>
          <w:highlight w:val="none"/>
        </w:rPr>
        <w:t>方支付</w:t>
      </w:r>
      <w:r>
        <w:rPr>
          <w:rFonts w:hint="eastAsia" w:ascii="宋体" w:hAnsi="宋体"/>
          <w:sz w:val="24"/>
          <w:szCs w:val="24"/>
          <w:highlight w:val="none"/>
          <w:lang w:val="en-US" w:eastAsia="zh-CN"/>
        </w:rPr>
        <w:t>乙方</w:t>
      </w:r>
      <w:r>
        <w:rPr>
          <w:rFonts w:hint="eastAsia" w:ascii="宋体" w:hAnsi="宋体"/>
          <w:sz w:val="24"/>
          <w:szCs w:val="24"/>
          <w:highlight w:val="none"/>
        </w:rPr>
        <w:t>合同总价的20%款项作为进度款</w:t>
      </w:r>
      <w:r>
        <w:rPr>
          <w:rFonts w:hint="eastAsia" w:ascii="宋体" w:hAnsi="Calibri" w:cs="宋体"/>
          <w:color w:val="000000"/>
          <w:sz w:val="24"/>
          <w:szCs w:val="24"/>
          <w:highlight w:val="none"/>
        </w:rPr>
        <w:t>。</w:t>
      </w:r>
    </w:p>
    <w:p>
      <w:pPr>
        <w:pStyle w:val="6"/>
        <w:keepNext w:val="0"/>
        <w:keepLines w:val="0"/>
        <w:tabs>
          <w:tab w:val="left" w:pos="0"/>
        </w:tabs>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 xml:space="preserve">2.2.3 </w:t>
      </w:r>
      <w:r>
        <w:rPr>
          <w:rFonts w:hint="eastAsia" w:ascii="宋体" w:hAnsi="宋体" w:eastAsia="宋体"/>
          <w:b w:val="0"/>
          <w:sz w:val="24"/>
          <w:szCs w:val="24"/>
          <w:highlight w:val="none"/>
          <w:lang w:val="en-US" w:eastAsia="zh-CN"/>
        </w:rPr>
        <w:t>乙方</w:t>
      </w:r>
      <w:r>
        <w:rPr>
          <w:rFonts w:hint="eastAsia" w:ascii="宋体" w:hAnsi="宋体" w:eastAsia="宋体"/>
          <w:b w:val="0"/>
          <w:sz w:val="24"/>
          <w:szCs w:val="24"/>
          <w:highlight w:val="none"/>
        </w:rPr>
        <w:t>完成本项目全部施工，收到完整的竣工资料及监检报告，工程经验收合格。</w:t>
      </w:r>
      <w:r>
        <w:rPr>
          <w:rFonts w:hint="eastAsia" w:ascii="宋体" w:hAnsi="宋体" w:eastAsia="宋体"/>
          <w:b w:val="0"/>
          <w:sz w:val="24"/>
          <w:szCs w:val="24"/>
          <w:highlight w:val="none"/>
          <w:lang w:val="en-US" w:eastAsia="zh-CN"/>
        </w:rPr>
        <w:t>甲方</w:t>
      </w:r>
      <w:r>
        <w:rPr>
          <w:rFonts w:hint="eastAsia" w:ascii="宋体" w:hAnsi="宋体" w:eastAsia="宋体"/>
          <w:b w:val="0"/>
          <w:sz w:val="24"/>
          <w:szCs w:val="24"/>
          <w:highlight w:val="none"/>
        </w:rPr>
        <w:t>收到</w:t>
      </w:r>
      <w:r>
        <w:rPr>
          <w:rFonts w:hint="eastAsia" w:ascii="宋体" w:hAnsi="宋体" w:eastAsia="宋体"/>
          <w:b w:val="0"/>
          <w:sz w:val="24"/>
          <w:szCs w:val="24"/>
          <w:highlight w:val="none"/>
          <w:lang w:val="en-US" w:eastAsia="zh-CN"/>
        </w:rPr>
        <w:t>乙方</w:t>
      </w:r>
      <w:r>
        <w:rPr>
          <w:rFonts w:hint="eastAsia" w:ascii="宋体" w:hAnsi="宋体" w:eastAsia="宋体"/>
          <w:b w:val="0"/>
          <w:sz w:val="24"/>
          <w:szCs w:val="24"/>
          <w:highlight w:val="none"/>
        </w:rPr>
        <w:t>合同至合同全额增值税发票后，15个工作日内</w:t>
      </w:r>
      <w:r>
        <w:rPr>
          <w:rFonts w:hint="eastAsia" w:ascii="宋体" w:hAnsi="宋体" w:eastAsia="宋体"/>
          <w:b w:val="0"/>
          <w:sz w:val="24"/>
          <w:szCs w:val="24"/>
          <w:highlight w:val="none"/>
          <w:lang w:val="en-US" w:eastAsia="zh-CN"/>
        </w:rPr>
        <w:t>甲</w:t>
      </w:r>
      <w:r>
        <w:rPr>
          <w:rFonts w:hint="eastAsia" w:ascii="宋体" w:hAnsi="宋体" w:eastAsia="宋体"/>
          <w:b w:val="0"/>
          <w:sz w:val="24"/>
          <w:szCs w:val="24"/>
          <w:highlight w:val="none"/>
        </w:rPr>
        <w:t>方支付</w:t>
      </w:r>
      <w:r>
        <w:rPr>
          <w:rFonts w:hint="eastAsia" w:ascii="宋体" w:hAnsi="宋体" w:eastAsia="宋体"/>
          <w:b w:val="0"/>
          <w:sz w:val="24"/>
          <w:szCs w:val="24"/>
          <w:highlight w:val="none"/>
          <w:lang w:val="en-US" w:eastAsia="zh-CN"/>
        </w:rPr>
        <w:t>乙方</w:t>
      </w:r>
      <w:r>
        <w:rPr>
          <w:rFonts w:hint="eastAsia" w:ascii="宋体" w:hAnsi="宋体" w:eastAsia="宋体"/>
          <w:b w:val="0"/>
          <w:sz w:val="24"/>
          <w:szCs w:val="24"/>
          <w:highlight w:val="none"/>
        </w:rPr>
        <w:t>至合同总价的97%。</w:t>
      </w:r>
    </w:p>
    <w:p>
      <w:pPr>
        <w:pStyle w:val="6"/>
        <w:keepNext w:val="0"/>
        <w:keepLines w:val="0"/>
        <w:tabs>
          <w:tab w:val="left" w:pos="0"/>
        </w:tabs>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2.2.4 预留3%作为质保金，质保期满无质量问题后，</w:t>
      </w:r>
      <w:r>
        <w:rPr>
          <w:rFonts w:hint="eastAsia" w:ascii="宋体" w:hAnsi="宋体" w:eastAsia="宋体"/>
          <w:b w:val="0"/>
          <w:sz w:val="24"/>
          <w:szCs w:val="24"/>
          <w:highlight w:val="none"/>
          <w:lang w:val="en-US" w:eastAsia="zh-CN"/>
        </w:rPr>
        <w:t>甲方</w:t>
      </w:r>
      <w:r>
        <w:rPr>
          <w:rFonts w:hint="eastAsia" w:ascii="宋体" w:hAnsi="宋体" w:eastAsia="宋体"/>
          <w:b w:val="0"/>
          <w:sz w:val="24"/>
          <w:szCs w:val="24"/>
          <w:highlight w:val="none"/>
        </w:rPr>
        <w:t>无息付清质保金。</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质量要求及售后服务</w:t>
      </w:r>
    </w:p>
    <w:p>
      <w:pPr>
        <w:tabs>
          <w:tab w:val="left" w:pos="0"/>
        </w:tabs>
        <w:kinsoku w:val="0"/>
        <w:overflowPunct w:val="0"/>
        <w:adjustRightInd/>
        <w:spacing w:line="400" w:lineRule="atLeast"/>
        <w:ind w:firstLine="480" w:firstLineChars="200"/>
        <w:jc w:val="left"/>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 xml:space="preserve"> 质量保证期为项目经</w:t>
      </w:r>
      <w:r>
        <w:rPr>
          <w:rFonts w:hint="eastAsia" w:ascii="宋体" w:hAnsi="宋体"/>
          <w:sz w:val="24"/>
          <w:szCs w:val="24"/>
          <w:highlight w:val="none"/>
          <w:lang w:val="en-US" w:eastAsia="zh-CN"/>
        </w:rPr>
        <w:t>甲方</w:t>
      </w:r>
      <w:r>
        <w:rPr>
          <w:rFonts w:hint="eastAsia" w:ascii="宋体" w:hAnsi="宋体"/>
          <w:sz w:val="24"/>
          <w:szCs w:val="24"/>
          <w:highlight w:val="none"/>
        </w:rPr>
        <w:t>组织验收，最终验收合格之日起12个月。在质保期内发生问题，</w:t>
      </w:r>
      <w:r>
        <w:rPr>
          <w:rFonts w:hint="eastAsia" w:ascii="宋体" w:hAnsi="宋体"/>
          <w:sz w:val="24"/>
          <w:szCs w:val="24"/>
          <w:highlight w:val="none"/>
          <w:lang w:val="en-US" w:eastAsia="zh-CN"/>
        </w:rPr>
        <w:t>乙方</w:t>
      </w:r>
      <w:r>
        <w:rPr>
          <w:rFonts w:hint="eastAsia" w:ascii="宋体" w:hAnsi="宋体"/>
          <w:sz w:val="24"/>
          <w:szCs w:val="24"/>
          <w:highlight w:val="none"/>
        </w:rPr>
        <w:t>必须在24小时内到达现场，提交确实可行的方案并解决问题，其费用由</w:t>
      </w:r>
      <w:r>
        <w:rPr>
          <w:rFonts w:hint="eastAsia" w:ascii="宋体" w:hAnsi="宋体"/>
          <w:sz w:val="24"/>
          <w:szCs w:val="24"/>
          <w:highlight w:val="none"/>
          <w:lang w:val="en-US" w:eastAsia="zh-CN"/>
        </w:rPr>
        <w:t>乙方</w:t>
      </w:r>
      <w:r>
        <w:rPr>
          <w:rFonts w:hint="eastAsia" w:ascii="宋体" w:hAnsi="宋体"/>
          <w:sz w:val="24"/>
          <w:szCs w:val="24"/>
          <w:highlight w:val="none"/>
        </w:rPr>
        <w:t>自行负责</w:t>
      </w:r>
    </w:p>
    <w:p>
      <w:pPr>
        <w:tabs>
          <w:tab w:val="left" w:pos="0"/>
        </w:tabs>
        <w:kinsoku w:val="0"/>
        <w:overflowPunct w:val="0"/>
        <w:adjustRightInd/>
        <w:spacing w:line="400" w:lineRule="atLeast"/>
        <w:ind w:firstLine="480" w:firstLineChars="200"/>
        <w:jc w:val="left"/>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 xml:space="preserve"> </w:t>
      </w:r>
      <w:r>
        <w:rPr>
          <w:rFonts w:hint="eastAsia" w:ascii="宋体" w:hAnsi="宋体" w:cs="宋体"/>
          <w:sz w:val="24"/>
          <w:szCs w:val="24"/>
          <w:highlight w:val="none"/>
        </w:rPr>
        <w:t>工程质量要求标准：合格</w:t>
      </w:r>
      <w:r>
        <w:rPr>
          <w:rFonts w:hint="eastAsia" w:ascii="宋体" w:hAnsi="宋体"/>
          <w:sz w:val="24"/>
          <w:szCs w:val="24"/>
          <w:highlight w:val="none"/>
        </w:rPr>
        <w:t>。</w:t>
      </w:r>
    </w:p>
    <w:p>
      <w:pPr>
        <w:pStyle w:val="81"/>
        <w:tabs>
          <w:tab w:val="left" w:pos="0"/>
        </w:tabs>
        <w:autoSpaceDE/>
        <w:autoSpaceDN/>
        <w:adjustRightInd/>
        <w:spacing w:line="400" w:lineRule="atLeast"/>
        <w:ind w:firstLine="482"/>
        <w:textAlignment w:val="auto"/>
        <w:rPr>
          <w:rFonts w:ascii="宋体" w:hAnsi="宋体" w:eastAsia="宋体"/>
          <w:b w:val="0"/>
          <w:sz w:val="24"/>
          <w:szCs w:val="24"/>
          <w:highlight w:val="none"/>
        </w:rPr>
      </w:pPr>
      <w:r>
        <w:rPr>
          <w:rFonts w:hint="eastAsia" w:ascii="宋体" w:hAnsi="Calibri" w:cs="宋体"/>
          <w:b/>
          <w:bCs/>
          <w:color w:val="000000"/>
          <w:sz w:val="24"/>
          <w:szCs w:val="24"/>
          <w:highlight w:val="none"/>
        </w:rPr>
        <w:t>4 验收标准</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w:t>
      </w:r>
      <w:r>
        <w:rPr>
          <w:rFonts w:hint="eastAsia" w:ascii="宋体" w:hAnsi="宋体" w:eastAsia="宋体"/>
          <w:b w:val="0"/>
          <w:sz w:val="24"/>
          <w:szCs w:val="24"/>
          <w:highlight w:val="none"/>
          <w:lang w:val="en-US" w:eastAsia="zh-CN"/>
        </w:rPr>
        <w:t>1</w:t>
      </w:r>
      <w:r>
        <w:rPr>
          <w:rFonts w:hint="eastAsia" w:ascii="宋体" w:hAnsi="宋体" w:eastAsia="宋体"/>
          <w:b w:val="0"/>
          <w:sz w:val="24"/>
          <w:szCs w:val="24"/>
          <w:highlight w:val="none"/>
        </w:rPr>
        <w:t xml:space="preserve"> 本次施工采用的设备、材料、安全设施等必须符合国家的标准规定。</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w:t>
      </w:r>
      <w:r>
        <w:rPr>
          <w:rFonts w:hint="eastAsia" w:ascii="宋体" w:hAnsi="宋体" w:eastAsia="宋体"/>
          <w:b w:val="0"/>
          <w:sz w:val="24"/>
          <w:szCs w:val="24"/>
          <w:highlight w:val="none"/>
          <w:lang w:val="en-US" w:eastAsia="zh-CN"/>
        </w:rPr>
        <w:t>2</w:t>
      </w:r>
      <w:r>
        <w:rPr>
          <w:rFonts w:hint="eastAsia" w:ascii="宋体" w:hAnsi="宋体" w:eastAsia="宋体"/>
          <w:b w:val="0"/>
          <w:sz w:val="24"/>
          <w:szCs w:val="24"/>
          <w:highlight w:val="none"/>
        </w:rPr>
        <w:t xml:space="preserve"> 施工验收标准应符合国家有关规范标准及相关技术规定，施工材料、工艺符合质量标准，符合GB/T32270-2015《压力管道规范 动力管道》、《城镇供热管网工程施工及验收规范》CJJ 28-2014、《现场设备、工业管道焊接工程施工规范》 GB50236-2011</w:t>
      </w:r>
      <w:r>
        <w:rPr>
          <w:rFonts w:hint="eastAsia" w:ascii="宋体" w:hAnsi="宋体" w:eastAsia="宋体"/>
          <w:b w:val="0"/>
          <w:sz w:val="24"/>
          <w:szCs w:val="24"/>
          <w:highlight w:val="none"/>
          <w:lang w:val="en-US" w:eastAsia="zh-CN"/>
        </w:rPr>
        <w:t>等标准</w:t>
      </w:r>
      <w:r>
        <w:rPr>
          <w:rFonts w:hint="eastAsia" w:ascii="宋体" w:hAnsi="宋体" w:eastAsia="宋体"/>
          <w:b w:val="0"/>
          <w:sz w:val="24"/>
          <w:szCs w:val="24"/>
          <w:highlight w:val="none"/>
        </w:rPr>
        <w:t>及</w:t>
      </w:r>
      <w:r>
        <w:rPr>
          <w:rFonts w:hint="eastAsia" w:ascii="宋体" w:hAnsi="宋体" w:eastAsia="宋体"/>
          <w:b w:val="0"/>
          <w:sz w:val="24"/>
          <w:szCs w:val="24"/>
          <w:highlight w:val="none"/>
          <w:lang w:val="en-US" w:eastAsia="zh-CN"/>
        </w:rPr>
        <w:t>技术规范书</w:t>
      </w:r>
      <w:r>
        <w:rPr>
          <w:rFonts w:hint="eastAsia" w:ascii="宋体" w:hAnsi="宋体" w:eastAsia="宋体"/>
          <w:b w:val="0"/>
          <w:sz w:val="24"/>
          <w:szCs w:val="24"/>
          <w:highlight w:val="none"/>
        </w:rPr>
        <w:t>规定的技术要求，按设计要求及相关技术规定和规范，组织有关人员进行现场验收。</w:t>
      </w:r>
    </w:p>
    <w:p>
      <w:pPr>
        <w:pStyle w:val="6"/>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bCs/>
          <w:sz w:val="24"/>
          <w:szCs w:val="24"/>
          <w:highlight w:val="none"/>
        </w:rPr>
      </w:pPr>
      <w:r>
        <w:rPr>
          <w:rFonts w:hint="eastAsia" w:ascii="宋体" w:hAnsi="宋体" w:eastAsia="宋体"/>
          <w:b w:val="0"/>
          <w:bCs/>
          <w:sz w:val="24"/>
          <w:szCs w:val="24"/>
          <w:highlight w:val="none"/>
        </w:rPr>
        <w:t>4.</w:t>
      </w:r>
      <w:r>
        <w:rPr>
          <w:rFonts w:hint="eastAsia" w:ascii="宋体" w:hAnsi="宋体" w:eastAsia="宋体"/>
          <w:b w:val="0"/>
          <w:bCs/>
          <w:sz w:val="24"/>
          <w:szCs w:val="24"/>
          <w:highlight w:val="none"/>
          <w:lang w:val="en-US" w:eastAsia="zh-CN"/>
        </w:rPr>
        <w:t>3</w:t>
      </w:r>
      <w:r>
        <w:rPr>
          <w:rFonts w:hint="eastAsia" w:ascii="宋体" w:hAnsi="宋体" w:eastAsia="宋体"/>
          <w:b w:val="0"/>
          <w:bCs/>
          <w:sz w:val="24"/>
          <w:szCs w:val="24"/>
          <w:highlight w:val="none"/>
        </w:rPr>
        <w:t xml:space="preserve"> 验收依据：谈判文件、报价文件、图纸、厂家货物技术标准说明及国家有关的质量标准规定，均为验收依据。</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5.双方责任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 甲方责任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5.1.1 甲方在开工前应办理好各种手续，使工程具备开工条件、开工前对乙方进行施工安全技术交底。</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5.1.2 工程未经验收合格，甲方提前使用或擅自动用，由此而发生的质量或其他问题，由甲方承担责任。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5.1.3 甲方在核对产品时，如发现货物的数量、规格不符，应及时书面通知乙方，以查明产品缺损原因。</w:t>
      </w:r>
    </w:p>
    <w:p>
      <w:pPr>
        <w:pStyle w:val="21"/>
        <w:kinsoku w:val="0"/>
        <w:overflowPunct w:val="0"/>
        <w:autoSpaceDE w:val="0"/>
        <w:autoSpaceDN w:val="0"/>
        <w:spacing w:line="400" w:lineRule="atLeast"/>
        <w:ind w:firstLine="480" w:firstLineChars="200"/>
        <w:rPr>
          <w:highlight w:val="none"/>
        </w:rPr>
      </w:pPr>
      <w:r>
        <w:rPr>
          <w:rFonts w:hint="eastAsia" w:hAnsi="宋体" w:cs="宋体"/>
          <w:sz w:val="24"/>
          <w:szCs w:val="24"/>
          <w:highlight w:val="none"/>
        </w:rPr>
        <w:t>5.2 乙方责任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sz w:val="24"/>
          <w:highlight w:val="none"/>
        </w:rPr>
        <w:t>5.2.1 乙方应按照施工要求严格组织施工。</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5.2.2 乙方负责现场所有设备材料的保管，如有失窃由乙方负责。</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5.2.3 乙方在工程施工中应确实贯彻安全管理的有关规章制度，并对由乙方原因造成的甲、乙双方以及第三方的人身伤害、财产损失承担民事赔偿责任。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5.2.4 乙方应配备必要的安全生产设施和劳动工具，根据本工程实际情况制定安全操作规程。</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5.2.5 乙方应全力配合甲方做好新冠疫情防控工作。</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5.2.6 双方另行签定安全协议书约定其它安全条款。</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6.双方现场代表</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bookmarkStart w:id="106" w:name="_Toc13888_WPSOffice_Level2"/>
      <w:r>
        <w:rPr>
          <w:rFonts w:hint="eastAsia" w:ascii="宋体" w:hAnsi="宋体" w:cs="宋体"/>
          <w:sz w:val="24"/>
          <w:szCs w:val="24"/>
          <w:highlight w:val="none"/>
        </w:rPr>
        <w:t>甲方代表：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06"/>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 xml:space="preserve">         　  　　  　　　</w:t>
      </w:r>
    </w:p>
    <w:p>
      <w:pPr>
        <w:snapToGrid w:val="0"/>
        <w:spacing w:line="400" w:lineRule="atLeast"/>
        <w:ind w:firstLine="480" w:firstLineChars="200"/>
        <w:rPr>
          <w:rFonts w:ascii="宋体" w:hAnsi="宋体" w:cs="宋体"/>
          <w:sz w:val="24"/>
          <w:szCs w:val="24"/>
          <w:highlight w:val="none"/>
        </w:rPr>
      </w:pPr>
      <w:bookmarkStart w:id="107" w:name="_Toc3401_WPSOffice_Level2"/>
      <w:r>
        <w:rPr>
          <w:rFonts w:hint="eastAsia" w:ascii="宋体" w:hAnsi="宋体" w:cs="宋体"/>
          <w:sz w:val="24"/>
          <w:szCs w:val="24"/>
          <w:highlight w:val="none"/>
        </w:rPr>
        <w:t>乙方代表：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07"/>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7.违约责任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bookmarkStart w:id="108" w:name="_Toc21145_WPSOffice_Level1"/>
      <w:r>
        <w:rPr>
          <w:rFonts w:hint="eastAsia" w:ascii="宋体" w:hAnsi="宋体" w:cs="宋体"/>
          <w:sz w:val="24"/>
          <w:szCs w:val="24"/>
          <w:highlight w:val="none"/>
        </w:rPr>
        <w:t>7.1 合同一方不履行合同义务或者履行义务不符合约定的，合同另一方有权要求对方承担继续履行、赔偿损失和支付违约金等违约责任。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7.2 工程质量不符合合同规定的，质保期内必须负责立即无偿修理或返工，乙方接到甲方通知24小时内不予修理或返工的，甲方有权委托其他单位进行修理或返工，由此产生的费用由乙方承担，造成其他损失的甲方有权向乙方提出赔偿。</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7.3 工程如因乙方责任不能按合同规定的工期交付使用的，每延误一天按工程价款的5％偿付逾期违约金，逾期7日，甲方有权解除协议并要求乙方支付逾期违约金及间接损失。</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8.纠份解决办法</w:t>
      </w:r>
      <w:bookmarkEnd w:id="108"/>
    </w:p>
    <w:p>
      <w:pPr>
        <w:autoSpaceDE/>
        <w:autoSpaceDN/>
        <w:snapToGrid w:val="0"/>
        <w:spacing w:line="380" w:lineRule="exact"/>
        <w:ind w:left="-105" w:leftChars="-50" w:right="-105" w:rightChars="-5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本合同执行过程中如有争议，应首先由甲、乙双方友好协商解决；协商不成，双方约定提交甲方所在地有管辖权的人民法院解决。所有对本合同的变更，需以双方共同达成的书面补充协议为准。</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9.合同生效</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bookmarkStart w:id="109" w:name="_Toc7611_WPSOffice_Level1"/>
      <w:r>
        <w:rPr>
          <w:rFonts w:hint="eastAsia" w:ascii="宋体" w:hAnsi="Calibri" w:cs="宋体"/>
          <w:color w:val="000000"/>
          <w:sz w:val="24"/>
          <w:szCs w:val="24"/>
          <w:highlight w:val="none"/>
        </w:rPr>
        <w:t>9.1 合同订立时间：2022年   月    日</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9.2 合同订立地点：厦门海发环保能源股份有限公司</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9.3 本合同一式六份，甲方持四份乙方持两份，具有同等的法律效力。</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9.4 本合同双方约定：自双方代表签字，加盖公章或合同专用章即生效。</w:t>
      </w:r>
    </w:p>
    <w:bookmarkEnd w:id="109"/>
    <w:p>
      <w:pPr>
        <w:snapToGrid w:val="0"/>
        <w:spacing w:before="120" w:beforeLines="50" w:after="120" w:afterLines="50" w:line="320" w:lineRule="atLeast"/>
        <w:rPr>
          <w:rFonts w:ascii="宋体" w:hAnsi="宋体"/>
          <w:sz w:val="24"/>
          <w:highlight w:val="none"/>
        </w:rPr>
      </w:pPr>
      <w:r>
        <w:rPr>
          <w:rFonts w:hint="eastAsia" w:ascii="宋体" w:hAnsi="宋体"/>
          <w:b/>
          <w:bCs/>
          <w:sz w:val="24"/>
          <w:highlight w:val="none"/>
        </w:rPr>
        <w:t>双方签署页：（以下无正文）</w:t>
      </w:r>
    </w:p>
    <w:p>
      <w:pPr>
        <w:snapToGrid w:val="0"/>
        <w:spacing w:before="120" w:beforeLines="50" w:after="120" w:afterLines="50" w:line="320" w:lineRule="atLeast"/>
        <w:rPr>
          <w:sz w:val="24"/>
          <w:highlight w:val="none"/>
        </w:rPr>
      </w:pPr>
      <w:r>
        <w:rPr>
          <w:rFonts w:hint="eastAsia" w:ascii="宋体" w:hAnsi="宋体"/>
          <w:sz w:val="24"/>
          <w:highlight w:val="none"/>
        </w:rPr>
        <w:t>甲 方：</w:t>
      </w:r>
      <w:r>
        <w:rPr>
          <w:rFonts w:hint="eastAsia" w:ascii="宋体" w:hAnsi="宋体" w:cs="宋体"/>
          <w:sz w:val="24"/>
          <w:szCs w:val="24"/>
          <w:highlight w:val="none"/>
        </w:rPr>
        <w:t>厦门海发环保能源股份有限公司</w:t>
      </w:r>
      <w:r>
        <w:rPr>
          <w:rFonts w:hint="eastAsia"/>
          <w:sz w:val="24"/>
          <w:highlight w:val="none"/>
        </w:rPr>
        <w:t xml:space="preserve">       </w:t>
      </w:r>
      <w:r>
        <w:rPr>
          <w:rFonts w:hint="eastAsia" w:ascii="宋体" w:hAnsi="宋体"/>
          <w:sz w:val="24"/>
          <w:highlight w:val="none"/>
        </w:rPr>
        <w:t>乙 方：</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法定代表：                                法定代表：</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授权代表：                   </w:t>
      </w:r>
      <w:r>
        <w:rPr>
          <w:rFonts w:hint="eastAsia" w:ascii="宋体" w:hAnsi="宋体"/>
          <w:sz w:val="28"/>
          <w:szCs w:val="28"/>
          <w:highlight w:val="none"/>
        </w:rPr>
        <w:t xml:space="preserve">   </w:t>
      </w:r>
      <w:r>
        <w:rPr>
          <w:rFonts w:hint="eastAsia" w:ascii="宋体" w:hAnsi="宋体"/>
          <w:sz w:val="24"/>
          <w:highlight w:val="none"/>
        </w:rPr>
        <w:t xml:space="preserve">          授权代表：</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电  话：0592-6807510</w:t>
      </w:r>
      <w:r>
        <w:rPr>
          <w:rFonts w:hint="eastAsia" w:ascii="宋体" w:hAnsi="宋体"/>
          <w:sz w:val="24"/>
          <w:highlight w:val="none"/>
        </w:rPr>
        <w:tab/>
      </w:r>
      <w:r>
        <w:rPr>
          <w:rFonts w:hint="eastAsia" w:ascii="宋体" w:hAnsi="宋体"/>
          <w:sz w:val="24"/>
          <w:highlight w:val="none"/>
        </w:rPr>
        <w:t>电  话：</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邮政编码：361028           </w:t>
      </w:r>
      <w:r>
        <w:rPr>
          <w:rFonts w:hint="eastAsia" w:ascii="宋体" w:hAnsi="宋体"/>
          <w:sz w:val="28"/>
          <w:szCs w:val="28"/>
          <w:highlight w:val="none"/>
        </w:rPr>
        <w:t xml:space="preserve"> </w:t>
      </w:r>
      <w:r>
        <w:rPr>
          <w:rFonts w:hint="eastAsia" w:ascii="宋体" w:hAnsi="宋体"/>
          <w:sz w:val="24"/>
          <w:highlight w:val="none"/>
        </w:rPr>
        <w:t xml:space="preserve">              邮政编码：</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传  真：0592-6807500</w:t>
      </w:r>
      <w:r>
        <w:rPr>
          <w:rFonts w:hint="eastAsia" w:ascii="宋体" w:hAnsi="宋体"/>
          <w:sz w:val="24"/>
          <w:highlight w:val="none"/>
        </w:rPr>
        <w:tab/>
      </w:r>
      <w:r>
        <w:rPr>
          <w:rFonts w:hint="eastAsia" w:ascii="宋体" w:hAnsi="宋体"/>
          <w:sz w:val="24"/>
          <w:highlight w:val="none"/>
        </w:rPr>
        <w:t>传  真：</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开户银行：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8"/>
          <w:szCs w:val="28"/>
          <w:highlight w:val="none"/>
        </w:rPr>
        <w:t xml:space="preserve">    </w:t>
      </w:r>
      <w:r>
        <w:rPr>
          <w:rFonts w:hint="eastAsia" w:ascii="宋体" w:hAnsi="宋体"/>
          <w:sz w:val="24"/>
          <w:highlight w:val="none"/>
        </w:rPr>
        <w:t>开户银行：</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帐  号：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2"/>
          <w:szCs w:val="22"/>
          <w:highlight w:val="none"/>
        </w:rPr>
        <w:t xml:space="preserve">    </w:t>
      </w:r>
      <w:r>
        <w:rPr>
          <w:rFonts w:hint="eastAsia" w:ascii="宋体" w:hAnsi="宋体"/>
          <w:szCs w:val="21"/>
          <w:highlight w:val="none"/>
        </w:rPr>
        <w:t xml:space="preserve"> </w:t>
      </w:r>
      <w:r>
        <w:rPr>
          <w:rFonts w:hint="eastAsia" w:ascii="宋体" w:hAnsi="宋体"/>
          <w:sz w:val="24"/>
          <w:highlight w:val="none"/>
        </w:rPr>
        <w:t>帐  号：</w:t>
      </w:r>
    </w:p>
    <w:p>
      <w:pPr>
        <w:snapToGrid w:val="0"/>
        <w:spacing w:line="320" w:lineRule="atLeast"/>
        <w:rPr>
          <w:rFonts w:ascii="宋体" w:hAnsi="宋体" w:cs="宋体"/>
          <w:spacing w:val="-4"/>
          <w:sz w:val="24"/>
          <w:szCs w:val="24"/>
          <w:highlight w:val="none"/>
        </w:rPr>
      </w:pPr>
      <w:r>
        <w:rPr>
          <w:rFonts w:hint="eastAsia" w:ascii="宋体" w:hAnsi="宋体" w:cs="宋体"/>
          <w:spacing w:val="-4"/>
          <w:sz w:val="24"/>
          <w:szCs w:val="24"/>
          <w:highlight w:val="none"/>
        </w:rPr>
        <w:t>项目负责人：                                项目负责人：</w:t>
      </w:r>
    </w:p>
    <w:p>
      <w:pPr>
        <w:tabs>
          <w:tab w:val="left" w:pos="4680"/>
        </w:tabs>
        <w:snapToGrid w:val="0"/>
        <w:spacing w:before="120" w:beforeLines="50" w:after="120" w:afterLines="50" w:line="320" w:lineRule="atLeast"/>
        <w:jc w:val="left"/>
        <w:rPr>
          <w:rFonts w:ascii="宋体" w:hAnsi="宋体" w:cs="宋体"/>
          <w:sz w:val="24"/>
          <w:szCs w:val="24"/>
          <w:highlight w:val="none"/>
        </w:rPr>
      </w:pPr>
      <w:r>
        <w:rPr>
          <w:rFonts w:hint="eastAsia" w:ascii="宋体" w:hAnsi="宋体"/>
          <w:sz w:val="24"/>
          <w:szCs w:val="22"/>
          <w:highlight w:val="none"/>
        </w:rPr>
        <w:t>联系电话：                                联系电话：</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6"/>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第五部分 报价文件格式</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kinsoku w:val="0"/>
              <w:overflowPunct w:val="0"/>
              <w:adjustRightInd/>
              <w:spacing w:line="400" w:lineRule="atLeast"/>
              <w:rPr>
                <w:rFonts w:ascii="宋体" w:hAnsi="宋体"/>
                <w:sz w:val="24"/>
                <w:highlight w:val="none"/>
              </w:rPr>
            </w:pPr>
            <w:r>
              <w:rPr>
                <w:rFonts w:hint="eastAsia" w:ascii="宋体" w:hAnsi="宋体"/>
                <w:sz w:val="24"/>
                <w:highlight w:val="none"/>
              </w:rPr>
              <w:t xml:space="preserve">注释： </w:t>
            </w:r>
          </w:p>
          <w:p>
            <w:pPr>
              <w:kinsoku w:val="0"/>
              <w:overflowPunct w:val="0"/>
              <w:adjustRightInd/>
              <w:spacing w:line="400" w:lineRule="atLeast"/>
              <w:ind w:firstLine="480"/>
              <w:rPr>
                <w:rFonts w:ascii="宋体" w:hAnsi="宋体"/>
                <w:sz w:val="24"/>
                <w:highlight w:val="none"/>
              </w:rPr>
            </w:pPr>
            <w:r>
              <w:rPr>
                <w:rFonts w:hint="eastAsia" w:ascii="宋体" w:hAnsi="宋体"/>
                <w:sz w:val="24"/>
                <w:highlight w:val="none"/>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snapToGrid w:val="0"/>
        <w:spacing w:line="360" w:lineRule="auto"/>
        <w:jc w:val="center"/>
        <w:outlineLvl w:val="0"/>
        <w:rPr>
          <w:rFonts w:ascii="宋体" w:hAnsi="宋体"/>
          <w:b/>
          <w:sz w:val="44"/>
          <w:szCs w:val="44"/>
          <w:highlight w:val="none"/>
        </w:rPr>
      </w:pPr>
      <w:bookmarkStart w:id="110" w:name="_Toc23011"/>
      <w:bookmarkStart w:id="111" w:name="_Toc6288"/>
      <w:bookmarkStart w:id="112" w:name="_Toc11385"/>
      <w:r>
        <w:rPr>
          <w:rFonts w:hint="eastAsia" w:ascii="宋体" w:hAnsi="宋体"/>
          <w:b/>
          <w:sz w:val="44"/>
          <w:szCs w:val="44"/>
          <w:highlight w:val="none"/>
        </w:rPr>
        <w:t>厦门海发环保能源股份有限公司</w:t>
      </w:r>
      <w:bookmarkEnd w:id="110"/>
      <w:bookmarkEnd w:id="111"/>
      <w:bookmarkEnd w:id="112"/>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锅炉汽水系统管道及主蒸汽阀门更换项目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响应报价文件</w:t>
      </w:r>
    </w:p>
    <w:p>
      <w:pPr>
        <w:kinsoku w:val="0"/>
        <w:overflowPunct w:val="0"/>
        <w:adjustRightInd/>
        <w:spacing w:line="400" w:lineRule="atLeast"/>
        <w:ind w:firstLine="1446" w:firstLineChars="400"/>
        <w:rPr>
          <w:rFonts w:ascii="宋体" w:hAnsi="宋体"/>
          <w:b/>
          <w:sz w:val="36"/>
          <w:highlight w:val="none"/>
        </w:rPr>
      </w:pPr>
    </w:p>
    <w:p>
      <w:pPr>
        <w:kinsoku w:val="0"/>
        <w:overflowPunct w:val="0"/>
        <w:adjustRightInd/>
        <w:spacing w:line="400" w:lineRule="atLeast"/>
        <w:ind w:firstLine="1807" w:firstLineChars="500"/>
        <w:outlineLvl w:val="0"/>
        <w:rPr>
          <w:rFonts w:ascii="宋体" w:hAnsi="宋体"/>
          <w:b/>
          <w:sz w:val="36"/>
          <w:highlight w:val="none"/>
        </w:rPr>
      </w:pPr>
      <w:bookmarkStart w:id="113" w:name="_Toc3485"/>
      <w:bookmarkStart w:id="114" w:name="_Toc16822"/>
      <w:bookmarkStart w:id="115" w:name="_Toc477"/>
      <w:r>
        <w:rPr>
          <w:rFonts w:hint="eastAsia" w:ascii="宋体" w:hAnsi="宋体"/>
          <w:b/>
          <w:sz w:val="36"/>
          <w:highlight w:val="none"/>
        </w:rPr>
        <w:t>项 目 编 号：</w:t>
      </w:r>
      <w:bookmarkEnd w:id="113"/>
      <w:bookmarkEnd w:id="114"/>
      <w:bookmarkEnd w:id="115"/>
    </w:p>
    <w:p>
      <w:pPr>
        <w:kinsoku w:val="0"/>
        <w:overflowPunct w:val="0"/>
        <w:adjustRightInd/>
        <w:spacing w:line="400" w:lineRule="atLeast"/>
        <w:rPr>
          <w:rFonts w:ascii="宋体" w:hAnsi="宋体"/>
          <w:b/>
          <w:sz w:val="36"/>
          <w:highlight w:val="none"/>
        </w:rPr>
      </w:pPr>
      <w:r>
        <w:rPr>
          <w:rFonts w:hint="eastAsia" w:ascii="宋体" w:hAnsi="宋体"/>
          <w:b/>
          <w:sz w:val="36"/>
          <w:highlight w:val="none"/>
        </w:rPr>
        <w:t xml:space="preserve">    </w:t>
      </w: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jc w:val="left"/>
        <w:rPr>
          <w:rFonts w:ascii="宋体" w:hAnsi="宋体"/>
          <w:b/>
          <w:bCs/>
          <w:sz w:val="32"/>
          <w:szCs w:val="32"/>
          <w:highlight w:val="non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16" w:name="_Toc27454"/>
      <w:bookmarkStart w:id="117" w:name="_Toc31210"/>
      <w:bookmarkStart w:id="118" w:name="_Toc10610"/>
      <w:bookmarkStart w:id="119" w:name="_Toc26010"/>
      <w:bookmarkStart w:id="120" w:name="_Toc12676"/>
      <w:r>
        <w:rPr>
          <w:rFonts w:hint="eastAsia" w:ascii="宋体" w:hAnsi="宋体"/>
          <w:b/>
          <w:bCs/>
          <w:sz w:val="30"/>
          <w:szCs w:val="30"/>
          <w:highlight w:val="none"/>
        </w:rPr>
        <w:t>报价单位：</w:t>
      </w:r>
      <w:r>
        <w:rPr>
          <w:rFonts w:hint="eastAsia" w:ascii="宋体" w:hAnsi="宋体"/>
          <w:b/>
          <w:bCs/>
          <w:sz w:val="30"/>
          <w:szCs w:val="30"/>
          <w:highlight w:val="none"/>
          <w:u w:val="single"/>
        </w:rPr>
        <w:t xml:space="preserve">                           （盖公章）</w:t>
      </w:r>
      <w:bookmarkEnd w:id="116"/>
      <w:bookmarkEnd w:id="117"/>
      <w:bookmarkEnd w:id="118"/>
      <w:bookmarkEnd w:id="119"/>
      <w:bookmarkEnd w:id="120"/>
    </w:p>
    <w:p>
      <w:pPr>
        <w:kinsoku w:val="0"/>
        <w:overflowPunct w:val="0"/>
        <w:adjustRightInd/>
        <w:spacing w:line="400" w:lineRule="atLeast"/>
        <w:jc w:val="left"/>
        <w:rPr>
          <w:rFonts w:ascii="宋体" w:hAnsi="宋体"/>
          <w:b/>
          <w:bCs/>
          <w:sz w:val="30"/>
          <w:szCs w:val="30"/>
          <w:highlight w:val="none"/>
          <w:u w:val="singl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21" w:name="_Toc28416"/>
      <w:bookmarkStart w:id="122" w:name="_Toc26421"/>
      <w:bookmarkStart w:id="123" w:name="_Toc2110"/>
      <w:bookmarkStart w:id="124" w:name="_Toc22504"/>
      <w:bookmarkStart w:id="125" w:name="_Toc16600"/>
      <w:r>
        <w:rPr>
          <w:rFonts w:hint="eastAsia" w:ascii="宋体" w:hAnsi="宋体"/>
          <w:b/>
          <w:bCs/>
          <w:sz w:val="30"/>
          <w:szCs w:val="30"/>
          <w:highlight w:val="none"/>
        </w:rPr>
        <w:t>法定代表人或其委托代理人：</w:t>
      </w:r>
      <w:bookmarkEnd w:id="121"/>
      <w:bookmarkEnd w:id="122"/>
      <w:bookmarkEnd w:id="123"/>
      <w:bookmarkEnd w:id="124"/>
      <w:bookmarkEnd w:id="125"/>
      <w:r>
        <w:rPr>
          <w:rFonts w:hint="eastAsia" w:ascii="宋体" w:hAnsi="宋体"/>
          <w:b/>
          <w:bCs/>
          <w:sz w:val="30"/>
          <w:szCs w:val="30"/>
          <w:highlight w:val="none"/>
          <w:u w:val="single"/>
        </w:rPr>
        <w:t xml:space="preserve">                     </w:t>
      </w:r>
    </w:p>
    <w:p>
      <w:pPr>
        <w:kinsoku w:val="0"/>
        <w:overflowPunct w:val="0"/>
        <w:adjustRightInd/>
        <w:spacing w:line="400" w:lineRule="atLeast"/>
        <w:outlineLvl w:val="0"/>
        <w:rPr>
          <w:rFonts w:ascii="宋体" w:hAnsi="宋体"/>
          <w:b/>
          <w:bCs/>
          <w:sz w:val="28"/>
          <w:szCs w:val="28"/>
          <w:highlight w:val="none"/>
        </w:rPr>
      </w:pPr>
      <w:bookmarkStart w:id="126" w:name="_Toc24026"/>
      <w:bookmarkStart w:id="127" w:name="_Toc19182"/>
      <w:bookmarkStart w:id="128" w:name="_Toc7425"/>
      <w:bookmarkStart w:id="129" w:name="_Toc14233"/>
      <w:bookmarkStart w:id="130" w:name="_Toc7142"/>
    </w:p>
    <w:p>
      <w:pPr>
        <w:kinsoku w:val="0"/>
        <w:overflowPunct w:val="0"/>
        <w:adjustRightInd/>
        <w:spacing w:line="400" w:lineRule="atLeast"/>
        <w:jc w:val="center"/>
        <w:outlineLvl w:val="0"/>
        <w:rPr>
          <w:rFonts w:ascii="宋体" w:hAnsi="宋体"/>
          <w:b/>
          <w:bCs/>
          <w:sz w:val="28"/>
          <w:szCs w:val="28"/>
          <w:highlight w:val="none"/>
        </w:rPr>
      </w:pPr>
      <w:r>
        <w:rPr>
          <w:rFonts w:hint="eastAsia" w:ascii="宋体" w:hAnsi="宋体"/>
          <w:b/>
          <w:bCs/>
          <w:sz w:val="28"/>
          <w:szCs w:val="28"/>
          <w:highlight w:val="none"/>
        </w:rPr>
        <w:t>报价日期：202</w:t>
      </w:r>
      <w:r>
        <w:rPr>
          <w:rFonts w:ascii="宋体" w:hAnsi="宋体"/>
          <w:b/>
          <w:bCs/>
          <w:sz w:val="28"/>
          <w:szCs w:val="28"/>
          <w:highlight w:val="none"/>
        </w:rPr>
        <w:t>2</w:t>
      </w:r>
      <w:r>
        <w:rPr>
          <w:rFonts w:hint="eastAsia" w:ascii="宋体" w:hAnsi="宋体"/>
          <w:b/>
          <w:bCs/>
          <w:sz w:val="28"/>
          <w:szCs w:val="28"/>
          <w:highlight w:val="none"/>
        </w:rPr>
        <w:t xml:space="preserve"> 年  月   日</w:t>
      </w:r>
      <w:bookmarkEnd w:id="126"/>
      <w:bookmarkEnd w:id="127"/>
      <w:bookmarkEnd w:id="128"/>
      <w:bookmarkEnd w:id="129"/>
      <w:bookmarkEnd w:id="130"/>
    </w:p>
    <w:p>
      <w:pPr>
        <w:widowControl/>
        <w:autoSpaceDE/>
        <w:autoSpaceDN/>
        <w:adjustRightInd/>
        <w:spacing w:line="240" w:lineRule="auto"/>
        <w:jc w:val="left"/>
        <w:textAlignment w:val="auto"/>
        <w:rPr>
          <w:rFonts w:ascii="宋体" w:hAnsi="宋体"/>
          <w:b/>
          <w:bCs/>
          <w:sz w:val="28"/>
          <w:szCs w:val="28"/>
          <w:highlight w:val="none"/>
        </w:rPr>
      </w:pPr>
      <w:r>
        <w:rPr>
          <w:rFonts w:ascii="宋体" w:hAnsi="宋体"/>
          <w:b/>
          <w:bCs/>
          <w:sz w:val="28"/>
          <w:szCs w:val="28"/>
          <w:highlight w:val="none"/>
        </w:rPr>
        <w:br w:type="page"/>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响应函（见附件1）；</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报价表（见附件2）；</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法定代表人证明书（见附件3）；</w:t>
      </w:r>
    </w:p>
    <w:p>
      <w:pPr>
        <w:numPr>
          <w:ilvl w:val="0"/>
          <w:numId w:val="30"/>
        </w:numPr>
        <w:kinsoku w:val="0"/>
        <w:overflowPunct w:val="0"/>
        <w:snapToGrid w:val="0"/>
        <w:spacing w:line="400" w:lineRule="atLeast"/>
        <w:ind w:firstLine="0"/>
        <w:textAlignment w:val="auto"/>
        <w:rPr>
          <w:rFonts w:ascii="宋体" w:hAnsi="宋体"/>
          <w:sz w:val="24"/>
          <w:szCs w:val="24"/>
          <w:highlight w:val="none"/>
        </w:rPr>
      </w:pPr>
      <w:r>
        <w:rPr>
          <w:rFonts w:hint="eastAsia" w:ascii="宋体" w:hAnsi="宋体"/>
          <w:sz w:val="24"/>
          <w:szCs w:val="24"/>
          <w:highlight w:val="none"/>
        </w:rPr>
        <w:t>法人授权委托书（见附件4，报价签字代表为法定代表人，则本附件不需要提供）；</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关于资格的声明函（见附件5）；</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报价方廉洁承诺书（见附件6）；</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企业能有效识别二维码且加盖报价单位公章的营业执照复印件（见附件7）；</w:t>
      </w:r>
    </w:p>
    <w:p>
      <w:pPr>
        <w:numPr>
          <w:ilvl w:val="0"/>
          <w:numId w:val="30"/>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企业加盖报价单位公章的相关资质证明文件（见附件8）</w:t>
      </w:r>
    </w:p>
    <w:p>
      <w:pPr>
        <w:numPr>
          <w:ilvl w:val="0"/>
          <w:numId w:val="30"/>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相关业绩证明，提供合同复印件并加盖公章（见附件9）。</w:t>
      </w:r>
    </w:p>
    <w:p>
      <w:pPr>
        <w:numPr>
          <w:ilvl w:val="0"/>
          <w:numId w:val="30"/>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报价方认为需要提供的其它资料（见附件10）；</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项目管理机构配备情况（见附件11）；</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施工组织方案。包括但不限于：主要施工方法、工程投入的主要物资和施工机械设备情况、确保工程质量和工期的技术组织措施、确保安全生产的技术组织措施、施工总进度表或工期网络图（见附件12）；</w:t>
      </w:r>
    </w:p>
    <w:p>
      <w:pPr>
        <w:numPr>
          <w:ilvl w:val="0"/>
          <w:numId w:val="30"/>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质量保证和售后服务承诺书（见附件13）。</w:t>
      </w:r>
    </w:p>
    <w:p>
      <w:pPr>
        <w:numPr>
          <w:ilvl w:val="0"/>
          <w:numId w:val="17"/>
        </w:numPr>
        <w:kinsoku w:val="0"/>
        <w:overflowPunct w:val="0"/>
        <w:autoSpaceDE/>
        <w:autoSpaceDN/>
        <w:snapToGrid w:val="0"/>
        <w:spacing w:line="440" w:lineRule="atLeast"/>
        <w:textAlignment w:val="auto"/>
        <w:rPr>
          <w:rFonts w:ascii="宋体" w:hAnsi="宋体"/>
          <w:sz w:val="24"/>
          <w:szCs w:val="24"/>
          <w:highlight w:val="none"/>
        </w:rPr>
      </w:pPr>
      <w:r>
        <w:rPr>
          <w:rFonts w:ascii="宋体" w:hAnsi="宋体"/>
          <w:sz w:val="24"/>
          <w:szCs w:val="24"/>
          <w:highlight w:val="none"/>
        </w:rPr>
        <w:br w:type="page"/>
      </w:r>
    </w:p>
    <w:p>
      <w:pPr>
        <w:widowControl/>
        <w:autoSpaceDE/>
        <w:autoSpaceDN/>
        <w:adjustRightInd/>
        <w:spacing w:line="240" w:lineRule="auto"/>
        <w:jc w:val="left"/>
        <w:textAlignment w:val="auto"/>
        <w:rPr>
          <w:rFonts w:ascii="宋体" w:hAnsi="宋体"/>
          <w:sz w:val="24"/>
          <w:szCs w:val="24"/>
          <w:highlight w:val="none"/>
        </w:rPr>
      </w:pPr>
    </w:p>
    <w:p>
      <w:pPr>
        <w:pStyle w:val="69"/>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bookmarkStart w:id="131" w:name="_Toc2425_WPSOffice_Level2"/>
      <w:bookmarkStart w:id="132" w:name="_Toc29175_WPSOffice_Level1"/>
      <w:r>
        <w:rPr>
          <w:rFonts w:hint="eastAsia" w:eastAsia="宋体" w:cs="宋体"/>
          <w:b w:val="0"/>
          <w:bCs/>
          <w:sz w:val="28"/>
          <w:szCs w:val="18"/>
          <w:highlight w:val="none"/>
        </w:rPr>
        <w:t>附件1 响应函</w:t>
      </w:r>
      <w:bookmarkEnd w:id="131"/>
      <w:bookmarkEnd w:id="132"/>
    </w:p>
    <w:p>
      <w:pPr>
        <w:pStyle w:val="69"/>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p>
    <w:p>
      <w:p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厦门海发环保能源股份有限公司：</w:t>
      </w:r>
    </w:p>
    <w:p>
      <w:pPr>
        <w:numPr>
          <w:ilvl w:val="0"/>
          <w:numId w:val="31"/>
        </w:num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我方已仔细研究了</w:t>
      </w:r>
      <w:r>
        <w:rPr>
          <w:rFonts w:hint="eastAsia" w:ascii="宋体" w:hAnsi="宋体" w:cs="宋体"/>
          <w:spacing w:val="-4"/>
          <w:sz w:val="24"/>
          <w:szCs w:val="24"/>
          <w:highlight w:val="none"/>
          <w:u w:val="single"/>
        </w:rPr>
        <w:t xml:space="preserve"> 锅炉汽水系统管道及主蒸汽阀门更换</w:t>
      </w:r>
      <w:r>
        <w:rPr>
          <w:rFonts w:hint="eastAsia" w:ascii="宋体" w:hAnsi="宋体" w:cs="宋体"/>
          <w:bCs/>
          <w:kern w:val="2"/>
          <w:sz w:val="24"/>
          <w:szCs w:val="24"/>
          <w:highlight w:val="none"/>
          <w:u w:val="single"/>
        </w:rPr>
        <w:t xml:space="preserve"> </w:t>
      </w:r>
      <w:r>
        <w:rPr>
          <w:rFonts w:hint="eastAsia" w:ascii="宋体" w:hAnsi="宋体" w:cs="宋体"/>
          <w:spacing w:val="-4"/>
          <w:sz w:val="24"/>
          <w:szCs w:val="24"/>
          <w:highlight w:val="none"/>
        </w:rPr>
        <w:t>项目的谈判文件全部内容，愿意以人民币</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 xml:space="preserve">        </w:t>
      </w:r>
      <w:r>
        <w:rPr>
          <w:rFonts w:hint="eastAsia" w:ascii="宋体" w:hAnsi="宋体" w:cs="宋体"/>
          <w:spacing w:val="-4"/>
          <w:sz w:val="24"/>
          <w:szCs w:val="24"/>
          <w:highlight w:val="none"/>
        </w:rPr>
        <w:t>总报价，含9％增值税专用发票。按照谈判文件、项目合同、和技术规范等承接上述</w:t>
      </w:r>
      <w:r>
        <w:rPr>
          <w:rFonts w:hint="eastAsia" w:ascii="宋体" w:hAnsi="宋体" w:cs="宋体"/>
          <w:spacing w:val="-4"/>
          <w:sz w:val="24"/>
          <w:szCs w:val="24"/>
          <w:highlight w:val="none"/>
          <w:lang w:val="en-US" w:eastAsia="zh-CN"/>
        </w:rPr>
        <w:t>安装</w:t>
      </w:r>
      <w:r>
        <w:rPr>
          <w:rFonts w:hint="eastAsia" w:ascii="宋体" w:hAnsi="宋体" w:cs="宋体"/>
          <w:spacing w:val="-4"/>
          <w:sz w:val="24"/>
          <w:szCs w:val="24"/>
          <w:highlight w:val="none"/>
        </w:rPr>
        <w:t>项目的所有工作。</w:t>
      </w:r>
    </w:p>
    <w:p>
      <w:pPr>
        <w:numPr>
          <w:ilvl w:val="0"/>
          <w:numId w:val="31"/>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我方承诺在谈判文件规定的报价有效期内不修改、撤销报价文件。</w:t>
      </w:r>
    </w:p>
    <w:p>
      <w:pPr>
        <w:numPr>
          <w:ilvl w:val="0"/>
          <w:numId w:val="31"/>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如我方确定为成交供应商，我方承诺在收到成交通知书后，在成交通知书规定的期限内完成合同签订，并保证为本项目提供优质服务，项目及配套材料质量标准均符合国家有关标准要求。</w:t>
      </w:r>
    </w:p>
    <w:p>
      <w:pPr>
        <w:numPr>
          <w:ilvl w:val="0"/>
          <w:numId w:val="31"/>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本响应函及报价文件属于合同文件的组成部分。</w:t>
      </w:r>
    </w:p>
    <w:p>
      <w:pPr>
        <w:numPr>
          <w:ilvl w:val="0"/>
          <w:numId w:val="31"/>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我方承诺按谈判文件的规定履行合同责任和义务，并在合同约定的期限内完成本次锅炉</w:t>
      </w:r>
      <w:r>
        <w:rPr>
          <w:rFonts w:hint="eastAsia" w:ascii="宋体" w:hAnsi="宋体" w:cs="宋体"/>
          <w:spacing w:val="-4"/>
          <w:sz w:val="24"/>
          <w:szCs w:val="24"/>
          <w:highlight w:val="none"/>
          <w:lang w:val="en-US" w:eastAsia="zh-CN"/>
        </w:rPr>
        <w:t>汽水系统管道及主蒸汽阀门更换</w:t>
      </w:r>
      <w:r>
        <w:rPr>
          <w:rFonts w:hint="eastAsia" w:ascii="宋体" w:hAnsi="宋体" w:cs="宋体"/>
          <w:spacing w:val="-4"/>
          <w:sz w:val="24"/>
          <w:szCs w:val="24"/>
          <w:highlight w:val="none"/>
        </w:rPr>
        <w:t>项目。</w:t>
      </w:r>
    </w:p>
    <w:p>
      <w:pPr>
        <w:numPr>
          <w:ilvl w:val="0"/>
          <w:numId w:val="31"/>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我方在此声明，所递交的报价文件及有关资料内容完整、真实和准确，且不存在违反谈判文件规定的任何一种条款。</w:t>
      </w:r>
    </w:p>
    <w:p>
      <w:pPr>
        <w:kinsoku w:val="0"/>
        <w:overflowPunct w:val="0"/>
        <w:adjustRightInd/>
        <w:spacing w:line="400" w:lineRule="atLeast"/>
        <w:jc w:val="center"/>
        <w:textAlignment w:val="auto"/>
        <w:rPr>
          <w:rFonts w:ascii="宋体" w:hAnsi="宋体" w:cs="宋体"/>
          <w:spacing w:val="-4"/>
          <w:sz w:val="24"/>
          <w:szCs w:val="24"/>
          <w:highlight w:val="none"/>
        </w:rPr>
      </w:pPr>
    </w:p>
    <w:p>
      <w:pPr>
        <w:kinsoku w:val="0"/>
        <w:overflowPunct w:val="0"/>
        <w:autoSpaceDE/>
        <w:autoSpaceDN/>
        <w:snapToGrid w:val="0"/>
        <w:spacing w:line="520" w:lineRule="atLeast"/>
        <w:ind w:firstLine="3712" w:firstLineChars="1600"/>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w:t>
      </w: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9"/>
        <w:spacing w:before="0" w:line="240" w:lineRule="auto"/>
        <w:rPr>
          <w:rFonts w:eastAsia="宋体" w:cs="宋体"/>
          <w:sz w:val="28"/>
          <w:szCs w:val="28"/>
          <w:highlight w:val="none"/>
        </w:rPr>
      </w:pPr>
      <w:r>
        <w:rPr>
          <w:rFonts w:hint="eastAsia" w:eastAsia="宋体" w:cs="宋体"/>
          <w:b w:val="0"/>
          <w:bCs/>
          <w:sz w:val="28"/>
          <w:szCs w:val="28"/>
          <w:highlight w:val="none"/>
        </w:rPr>
        <w:t>附件2 项目报价表</w:t>
      </w:r>
    </w:p>
    <w:tbl>
      <w:tblPr>
        <w:tblStyle w:val="3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961"/>
        <w:gridCol w:w="1381"/>
        <w:gridCol w:w="209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5" w:type="dxa"/>
            <w:vAlign w:val="center"/>
          </w:tcPr>
          <w:p>
            <w:pPr>
              <w:snapToGrid w:val="0"/>
              <w:spacing w:line="240" w:lineRule="auto"/>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2961" w:type="dxa"/>
            <w:vAlign w:val="center"/>
          </w:tcPr>
          <w:p>
            <w:pPr>
              <w:snapToGrid w:val="0"/>
              <w:spacing w:line="240" w:lineRule="auto"/>
              <w:jc w:val="center"/>
              <w:rPr>
                <w:rFonts w:ascii="宋体" w:hAnsi="宋体" w:cs="宋体"/>
                <w:bCs/>
                <w:sz w:val="24"/>
                <w:szCs w:val="24"/>
                <w:highlight w:val="none"/>
              </w:rPr>
            </w:pPr>
            <w:r>
              <w:rPr>
                <w:rFonts w:hint="eastAsia" w:ascii="宋体" w:hAnsi="宋体" w:cs="宋体"/>
                <w:bCs/>
                <w:sz w:val="24"/>
                <w:szCs w:val="24"/>
                <w:highlight w:val="none"/>
              </w:rPr>
              <w:t>项目名称</w:t>
            </w:r>
          </w:p>
        </w:tc>
        <w:tc>
          <w:tcPr>
            <w:tcW w:w="1381"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rPr>
              <w:t>单位</w:t>
            </w:r>
          </w:p>
        </w:tc>
        <w:tc>
          <w:tcPr>
            <w:tcW w:w="2099"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rPr>
              <w:t>数量（</w:t>
            </w:r>
            <w:r>
              <w:rPr>
                <w:rFonts w:hint="eastAsia" w:ascii="宋体" w:hAnsi="宋体" w:cs="宋体"/>
                <w:bCs/>
                <w:sz w:val="24"/>
                <w:szCs w:val="24"/>
                <w:highlight w:val="none"/>
                <w:lang w:val="en-US" w:eastAsia="zh-CN"/>
              </w:rPr>
              <w:t>项</w:t>
            </w:r>
            <w:r>
              <w:rPr>
                <w:rFonts w:hint="eastAsia" w:ascii="宋体" w:hAnsi="宋体" w:cs="宋体"/>
                <w:bCs/>
                <w:sz w:val="24"/>
                <w:szCs w:val="24"/>
                <w:highlight w:val="none"/>
              </w:rPr>
              <w:t>）</w:t>
            </w:r>
          </w:p>
        </w:tc>
        <w:tc>
          <w:tcPr>
            <w:tcW w:w="2123"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lang w:val="en-US" w:eastAsia="zh-CN"/>
              </w:rPr>
              <w:t>报价</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万元</w:t>
            </w:r>
            <w:r>
              <w:rPr>
                <w:rFonts w:hint="eastAsia" w:ascii="宋体" w:hAnsi="宋体" w:cs="宋体"/>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spacing w:line="360" w:lineRule="auto"/>
              <w:ind w:left="69"/>
              <w:jc w:val="center"/>
              <w:rPr>
                <w:rFonts w:ascii="宋体" w:hAnsi="宋体" w:cs="宋体"/>
                <w:bCs/>
                <w:sz w:val="24"/>
                <w:szCs w:val="24"/>
                <w:highlight w:val="none"/>
              </w:rPr>
            </w:pPr>
            <w:r>
              <w:rPr>
                <w:rFonts w:hint="eastAsia" w:ascii="宋体" w:hAnsi="宋体" w:cs="宋体"/>
                <w:bCs/>
                <w:sz w:val="24"/>
                <w:szCs w:val="24"/>
                <w:highlight w:val="none"/>
              </w:rPr>
              <w:t>1</w:t>
            </w:r>
          </w:p>
        </w:tc>
        <w:tc>
          <w:tcPr>
            <w:tcW w:w="2961" w:type="dxa"/>
            <w:vAlign w:val="center"/>
          </w:tcPr>
          <w:p>
            <w:pPr>
              <w:kinsoku w:val="0"/>
              <w:overflowPunct w:val="0"/>
              <w:snapToGrid w:val="0"/>
              <w:spacing w:line="440" w:lineRule="atLeast"/>
              <w:jc w:val="center"/>
              <w:rPr>
                <w:rFonts w:hint="eastAsia" w:ascii="宋体" w:hAnsi="宋体" w:eastAsia="宋体" w:cs="宋体"/>
                <w:bCs/>
                <w:sz w:val="24"/>
                <w:szCs w:val="24"/>
                <w:highlight w:val="none"/>
                <w:lang w:val="en-US" w:eastAsia="zh-CN"/>
              </w:rPr>
            </w:pPr>
            <w:r>
              <w:rPr>
                <w:rFonts w:hint="eastAsia" w:ascii="宋体" w:hAnsi="宋体"/>
                <w:sz w:val="24"/>
                <w:szCs w:val="24"/>
                <w:highlight w:val="none"/>
              </w:rPr>
              <w:t>1#炉汽水系统管道更换</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spacing w:line="360" w:lineRule="auto"/>
              <w:ind w:left="69"/>
              <w:jc w:val="center"/>
              <w:rPr>
                <w:rFonts w:ascii="宋体" w:hAnsi="宋体" w:cs="宋体"/>
                <w:bCs/>
                <w:sz w:val="24"/>
                <w:szCs w:val="24"/>
                <w:highlight w:val="none"/>
              </w:rPr>
            </w:pPr>
            <w:r>
              <w:rPr>
                <w:rFonts w:hint="eastAsia" w:ascii="宋体" w:hAnsi="宋体" w:cs="宋体"/>
                <w:bCs/>
                <w:sz w:val="24"/>
                <w:szCs w:val="24"/>
                <w:highlight w:val="none"/>
              </w:rPr>
              <w:t>2</w:t>
            </w:r>
          </w:p>
        </w:tc>
        <w:tc>
          <w:tcPr>
            <w:tcW w:w="2961" w:type="dxa"/>
            <w:vAlign w:val="center"/>
          </w:tcPr>
          <w:p>
            <w:pPr>
              <w:kinsoku w:val="0"/>
              <w:overflowPunct w:val="0"/>
              <w:snapToGrid w:val="0"/>
              <w:spacing w:line="440" w:lineRule="atLeast"/>
              <w:jc w:val="center"/>
              <w:rPr>
                <w:rFonts w:hint="eastAsia" w:ascii="宋体" w:hAnsi="宋体" w:eastAsia="宋体" w:cs="宋体"/>
                <w:bCs/>
                <w:sz w:val="24"/>
                <w:szCs w:val="24"/>
                <w:highlight w:val="none"/>
                <w:lang w:val="en-US" w:eastAsia="zh-CN"/>
              </w:rPr>
            </w:pPr>
            <w:r>
              <w:rPr>
                <w:rFonts w:hint="eastAsia" w:ascii="宋体" w:hAnsi="宋体"/>
                <w:sz w:val="24"/>
                <w:szCs w:val="24"/>
                <w:highlight w:val="none"/>
              </w:rPr>
              <w:t>2#炉汽水系统管道更换</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3</w:t>
            </w:r>
          </w:p>
        </w:tc>
        <w:tc>
          <w:tcPr>
            <w:tcW w:w="2961" w:type="dxa"/>
            <w:vAlign w:val="center"/>
          </w:tcPr>
          <w:p>
            <w:pPr>
              <w:kinsoku w:val="0"/>
              <w:overflowPunct w:val="0"/>
              <w:snapToGrid w:val="0"/>
              <w:spacing w:line="440" w:lineRule="atLeast"/>
              <w:jc w:val="center"/>
              <w:rPr>
                <w:rFonts w:hint="eastAsia" w:ascii="宋体" w:hAnsi="宋体" w:eastAsia="宋体" w:cs="宋体"/>
                <w:bCs/>
                <w:sz w:val="24"/>
                <w:szCs w:val="24"/>
                <w:highlight w:val="none"/>
                <w:lang w:val="en-US" w:eastAsia="zh-CN"/>
              </w:rPr>
            </w:pPr>
            <w:r>
              <w:rPr>
                <w:rFonts w:hint="eastAsia" w:ascii="宋体" w:hAnsi="宋体"/>
                <w:sz w:val="24"/>
                <w:szCs w:val="24"/>
                <w:highlight w:val="none"/>
              </w:rPr>
              <w:t>3#炉汽水系统管道更换</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4</w:t>
            </w:r>
          </w:p>
        </w:tc>
        <w:tc>
          <w:tcPr>
            <w:tcW w:w="2961" w:type="dxa"/>
            <w:vAlign w:val="center"/>
          </w:tcPr>
          <w:p>
            <w:pPr>
              <w:kinsoku w:val="0"/>
              <w:overflowPunct w:val="0"/>
              <w:snapToGrid w:val="0"/>
              <w:spacing w:line="440" w:lineRule="atLeast"/>
              <w:jc w:val="center"/>
              <w:rPr>
                <w:rFonts w:ascii="宋体" w:hAnsi="宋体"/>
                <w:sz w:val="24"/>
                <w:szCs w:val="24"/>
                <w:highlight w:val="none"/>
              </w:rPr>
            </w:pPr>
            <w:r>
              <w:rPr>
                <w:rFonts w:hint="eastAsia" w:ascii="宋体" w:hAnsi="宋体" w:cs="宋体"/>
                <w:sz w:val="24"/>
                <w:szCs w:val="24"/>
                <w:highlight w:val="none"/>
              </w:rPr>
              <w:t>主蒸汽母管阀</w:t>
            </w:r>
            <w:r>
              <w:rPr>
                <w:rFonts w:hint="eastAsia" w:ascii="宋体" w:hAnsi="宋体" w:cs="宋体"/>
                <w:sz w:val="24"/>
                <w:szCs w:val="24"/>
                <w:highlight w:val="none"/>
                <w:lang w:val="en-US" w:eastAsia="zh-CN"/>
              </w:rPr>
              <w:t>门及其管道</w:t>
            </w:r>
            <w:r>
              <w:rPr>
                <w:rFonts w:hint="eastAsia" w:ascii="宋体" w:hAnsi="宋体" w:cs="宋体"/>
                <w:sz w:val="24"/>
                <w:szCs w:val="24"/>
                <w:highlight w:val="none"/>
              </w:rPr>
              <w:t>更换</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pStyle w:val="17"/>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5</w:t>
            </w:r>
          </w:p>
        </w:tc>
        <w:tc>
          <w:tcPr>
            <w:tcW w:w="2961" w:type="dxa"/>
            <w:vAlign w:val="center"/>
          </w:tcPr>
          <w:p>
            <w:pPr>
              <w:kinsoku w:val="0"/>
              <w:overflowPunct w:val="0"/>
              <w:snapToGrid w:val="0"/>
              <w:spacing w:line="440" w:lineRule="atLeast"/>
              <w:jc w:val="center"/>
              <w:rPr>
                <w:rFonts w:ascii="宋体" w:hAnsi="宋体" w:cs="宋体"/>
                <w:bCs/>
                <w:sz w:val="24"/>
                <w:szCs w:val="24"/>
                <w:highlight w:val="none"/>
              </w:rPr>
            </w:pPr>
            <w:r>
              <w:rPr>
                <w:rFonts w:hint="eastAsia" w:ascii="宋体" w:hAnsi="宋体"/>
                <w:sz w:val="24"/>
                <w:szCs w:val="24"/>
                <w:highlight w:val="none"/>
              </w:rPr>
              <w:t>管理</w:t>
            </w:r>
            <w:r>
              <w:rPr>
                <w:rFonts w:hint="eastAsia" w:ascii="宋体" w:hAnsi="宋体"/>
                <w:sz w:val="24"/>
                <w:szCs w:val="24"/>
                <w:highlight w:val="none"/>
                <w:lang w:eastAsia="zh-CN"/>
              </w:rPr>
              <w:t>、</w:t>
            </w:r>
            <w:r>
              <w:rPr>
                <w:rFonts w:hint="eastAsia" w:ascii="宋体" w:hAnsi="宋体"/>
                <w:sz w:val="24"/>
                <w:szCs w:val="24"/>
                <w:highlight w:val="none"/>
                <w:lang w:val="en-US" w:eastAsia="zh-CN"/>
              </w:rPr>
              <w:t>脚手架</w:t>
            </w:r>
            <w:r>
              <w:rPr>
                <w:rFonts w:hint="eastAsia" w:ascii="宋体" w:hAnsi="宋体"/>
                <w:sz w:val="24"/>
                <w:szCs w:val="24"/>
                <w:highlight w:val="none"/>
              </w:rPr>
              <w:t>等其他费用</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7" w:type="dxa"/>
            <w:gridSpan w:val="3"/>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8"/>
                <w:szCs w:val="28"/>
                <w:highlight w:val="none"/>
              </w:rPr>
              <w:t>合  计（</w:t>
            </w:r>
            <w:r>
              <w:rPr>
                <w:rFonts w:hint="eastAsia" w:ascii="宋体" w:hAnsi="宋体" w:cs="宋体"/>
                <w:bCs/>
                <w:sz w:val="28"/>
                <w:szCs w:val="28"/>
                <w:highlight w:val="none"/>
                <w:lang w:val="en-US" w:eastAsia="zh-CN"/>
              </w:rPr>
              <w:t>万元</w:t>
            </w:r>
            <w:r>
              <w:rPr>
                <w:rFonts w:hint="eastAsia" w:ascii="宋体" w:hAnsi="宋体" w:cs="宋体"/>
                <w:bCs/>
                <w:sz w:val="28"/>
                <w:szCs w:val="28"/>
                <w:highlight w:val="none"/>
              </w:rPr>
              <w:t>）</w:t>
            </w:r>
          </w:p>
        </w:tc>
        <w:tc>
          <w:tcPr>
            <w:tcW w:w="4222" w:type="dxa"/>
            <w:gridSpan w:val="2"/>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15" w:type="dxa"/>
            <w:vAlign w:val="center"/>
          </w:tcPr>
          <w:p>
            <w:pPr>
              <w:snapToGrid w:val="0"/>
              <w:spacing w:line="360" w:lineRule="auto"/>
              <w:jc w:val="center"/>
              <w:rPr>
                <w:rFonts w:ascii="宋体" w:hAnsi="宋体" w:cs="宋体"/>
                <w:bCs/>
                <w:sz w:val="24"/>
                <w:szCs w:val="24"/>
                <w:highlight w:val="none"/>
              </w:rPr>
            </w:pPr>
            <w:r>
              <w:rPr>
                <w:rFonts w:hint="eastAsia"/>
                <w:highlight w:val="none"/>
              </w:rPr>
              <w:t>备注</w:t>
            </w:r>
          </w:p>
        </w:tc>
        <w:tc>
          <w:tcPr>
            <w:tcW w:w="8564" w:type="dxa"/>
            <w:gridSpan w:val="4"/>
            <w:vAlign w:val="center"/>
          </w:tcPr>
          <w:p>
            <w:pPr>
              <w:pStyle w:val="17"/>
              <w:jc w:val="left"/>
              <w:rPr>
                <w:highlight w:val="none"/>
              </w:rPr>
            </w:pPr>
            <w:r>
              <w:rPr>
                <w:rFonts w:hint="eastAsia"/>
                <w:highlight w:val="none"/>
              </w:rPr>
              <w:t>以上报价均为含税价，开具9%增值税专用发票，若报价为非含9%增值税，请标注税率，评标是将统一折算为9%增值税率进行比价。</w:t>
            </w:r>
          </w:p>
        </w:tc>
      </w:tr>
    </w:tbl>
    <w:p>
      <w:pPr>
        <w:pStyle w:val="66"/>
        <w:spacing w:line="360" w:lineRule="auto"/>
        <w:ind w:firstLine="3712" w:firstLineChars="1600"/>
        <w:outlineLvl w:val="9"/>
        <w:rPr>
          <w:rFonts w:hAnsi="宋体" w:cs="宋体"/>
          <w:spacing w:val="-4"/>
          <w:kern w:val="0"/>
          <w:sz w:val="24"/>
          <w:szCs w:val="24"/>
          <w:highlight w:val="none"/>
        </w:rPr>
      </w:pPr>
    </w:p>
    <w:p>
      <w:pPr>
        <w:pStyle w:val="66"/>
        <w:spacing w:line="360" w:lineRule="auto"/>
        <w:ind w:firstLine="3712" w:firstLineChars="1600"/>
        <w:outlineLvl w:val="9"/>
        <w:rPr>
          <w:rFonts w:hint="eastAsia" w:hAnsi="宋体" w:cs="宋体"/>
          <w:spacing w:val="-4"/>
          <w:kern w:val="0"/>
          <w:sz w:val="24"/>
          <w:szCs w:val="24"/>
          <w:highlight w:val="none"/>
        </w:rPr>
      </w:pPr>
      <w:r>
        <w:rPr>
          <w:rFonts w:hint="eastAsia" w:hAnsi="宋体" w:cs="宋体"/>
          <w:spacing w:val="-4"/>
          <w:kern w:val="0"/>
          <w:sz w:val="24"/>
          <w:szCs w:val="24"/>
          <w:highlight w:val="none"/>
        </w:rPr>
        <w:t xml:space="preserve"> </w:t>
      </w:r>
    </w:p>
    <w:p>
      <w:pPr>
        <w:pStyle w:val="66"/>
        <w:spacing w:line="360" w:lineRule="auto"/>
        <w:ind w:firstLine="3712" w:firstLineChars="1600"/>
        <w:outlineLvl w:val="9"/>
        <w:rPr>
          <w:rFonts w:hAnsi="宋体"/>
          <w:bCs/>
          <w:sz w:val="24"/>
          <w:highlight w:val="none"/>
          <w:u w:val="single"/>
        </w:rPr>
      </w:pPr>
      <w:r>
        <w:rPr>
          <w:rFonts w:hint="eastAsia" w:hAnsi="宋体" w:cs="宋体"/>
          <w:spacing w:val="-4"/>
          <w:kern w:val="0"/>
          <w:sz w:val="24"/>
          <w:szCs w:val="24"/>
          <w:highlight w:val="none"/>
        </w:rPr>
        <w:t>法定代表人或授权代理人</w:t>
      </w:r>
      <w:r>
        <w:rPr>
          <w:rFonts w:hint="eastAsia" w:hAnsi="宋体"/>
          <w:bCs/>
          <w:sz w:val="24"/>
          <w:highlight w:val="none"/>
        </w:rPr>
        <w:t>：</w:t>
      </w:r>
      <w:r>
        <w:rPr>
          <w:rFonts w:hAnsi="宋体"/>
          <w:bCs/>
          <w:sz w:val="24"/>
          <w:highlight w:val="none"/>
          <w:u w:val="single"/>
        </w:rPr>
        <w:t xml:space="preserve">                      </w:t>
      </w:r>
    </w:p>
    <w:p>
      <w:pPr>
        <w:pStyle w:val="66"/>
        <w:spacing w:line="360" w:lineRule="auto"/>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r>
        <w:rPr>
          <w:rFonts w:hint="eastAsia" w:hAnsi="宋体"/>
          <w:kern w:val="0"/>
          <w:sz w:val="24"/>
          <w:szCs w:val="24"/>
          <w:highlight w:val="none"/>
        </w:rPr>
        <w:t>（盖章）</w:t>
      </w: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outlineLvl w:val="9"/>
        <w:rPr>
          <w:rFonts w:hAnsi="宋体"/>
          <w:kern w:val="0"/>
          <w:sz w:val="24"/>
          <w:szCs w:val="24"/>
          <w:highlight w:val="none"/>
        </w:rPr>
      </w:pPr>
    </w:p>
    <w:p>
      <w:pPr>
        <w:jc w:val="center"/>
        <w:rPr>
          <w:rFonts w:cs="宋体"/>
          <w:bCs/>
          <w:sz w:val="24"/>
          <w:szCs w:val="24"/>
          <w:highlight w:val="none"/>
        </w:rPr>
      </w:pPr>
      <w:r>
        <w:rPr>
          <w:rFonts w:hint="eastAsia" w:cs="宋体"/>
          <w:bCs/>
          <w:sz w:val="28"/>
          <w:szCs w:val="28"/>
          <w:highlight w:val="none"/>
        </w:rPr>
        <w:t xml:space="preserve">附件3  </w:t>
      </w:r>
      <w:r>
        <w:rPr>
          <w:rFonts w:hint="eastAsia" w:cs="宋体"/>
          <w:bCs/>
          <w:sz w:val="24"/>
          <w:szCs w:val="24"/>
          <w:highlight w:val="none"/>
        </w:rPr>
        <w:t>法定代表人证明书</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企业名称：</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企业性质：</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地   址：</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成立时间：</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经营期限：</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姓名：</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性别：</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年龄：</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职务：</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系</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（报价单位全称）的法定代表人。</w:t>
      </w:r>
    </w:p>
    <w:p>
      <w:pPr>
        <w:pStyle w:val="69"/>
        <w:keepNext w:val="0"/>
        <w:keepLines w:val="0"/>
        <w:kinsoku w:val="0"/>
        <w:overflowPunct w:val="0"/>
        <w:snapToGrid w:val="0"/>
        <w:spacing w:before="0" w:after="120" w:afterLines="50" w:line="520" w:lineRule="atLeast"/>
        <w:ind w:firstLine="520" w:firstLineChars="200"/>
        <w:jc w:val="both"/>
        <w:rPr>
          <w:rFonts w:eastAsia="宋体" w:cs="宋体"/>
          <w:b w:val="0"/>
          <w:bCs/>
          <w:sz w:val="24"/>
          <w:szCs w:val="24"/>
          <w:highlight w:val="none"/>
        </w:rPr>
      </w:pPr>
      <w:r>
        <w:rPr>
          <w:rFonts w:hint="eastAsia" w:eastAsia="宋体" w:cs="宋体"/>
          <w:b w:val="0"/>
          <w:bCs/>
          <w:sz w:val="24"/>
          <w:szCs w:val="24"/>
          <w:highlight w:val="none"/>
        </w:rPr>
        <w:t>特此证明！</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附：法定代表人身份证正反面复印件</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3" w:type="dxa"/>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4643" w:type="dxa"/>
          </w:tcPr>
          <w:p>
            <w:pPr>
              <w:spacing w:line="440" w:lineRule="exact"/>
              <w:rPr>
                <w:rFonts w:ascii="宋体" w:hAnsi="宋体"/>
                <w:sz w:val="24"/>
                <w:szCs w:val="24"/>
                <w:highlight w:val="none"/>
              </w:rPr>
            </w:pPr>
          </w:p>
        </w:tc>
      </w:tr>
    </w:tbl>
    <w:p>
      <w:pPr>
        <w:pStyle w:val="69"/>
        <w:keepNext w:val="0"/>
        <w:keepLines w:val="0"/>
        <w:autoSpaceDE w:val="0"/>
        <w:autoSpaceDN w:val="0"/>
        <w:snapToGrid w:val="0"/>
        <w:spacing w:before="0" w:after="0" w:line="240" w:lineRule="auto"/>
        <w:rPr>
          <w:rFonts w:eastAsia="宋体" w:cs="宋体"/>
          <w:b w:val="0"/>
          <w:bCs/>
          <w:sz w:val="28"/>
          <w:szCs w:val="28"/>
          <w:highlight w:val="none"/>
        </w:rPr>
      </w:pPr>
    </w:p>
    <w:p>
      <w:pPr>
        <w:kinsoku w:val="0"/>
        <w:overflowPunct w:val="0"/>
        <w:snapToGrid w:val="0"/>
        <w:spacing w:line="520" w:lineRule="exact"/>
        <w:ind w:firstLine="3600" w:firstLineChars="1500"/>
        <w:jc w:val="left"/>
        <w:rPr>
          <w:rFonts w:cs="宋体"/>
          <w:bCs/>
          <w:sz w:val="24"/>
          <w:szCs w:val="24"/>
          <w:highlight w:val="none"/>
        </w:rPr>
      </w:pPr>
      <w:r>
        <w:rPr>
          <w:rFonts w:hint="eastAsia" w:ascii="宋体" w:hAnsi="宋体"/>
          <w:bCs/>
          <w:sz w:val="24"/>
          <w:szCs w:val="24"/>
          <w:highlight w:val="none"/>
        </w:rPr>
        <w:t>报价单位（盖公章）：</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kinsoku w:val="0"/>
        <w:overflowPunct w:val="0"/>
        <w:snapToGrid w:val="0"/>
        <w:spacing w:line="520" w:lineRule="exact"/>
        <w:ind w:firstLine="5520" w:firstLineChars="2300"/>
        <w:jc w:val="left"/>
        <w:rPr>
          <w:rFonts w:ascii="宋体" w:hAnsi="宋体"/>
          <w:bCs/>
          <w:sz w:val="24"/>
          <w:szCs w:val="24"/>
          <w:highlight w:val="none"/>
        </w:rPr>
      </w:pPr>
      <w:r>
        <w:rPr>
          <w:rFonts w:hint="eastAsia" w:ascii="宋体" w:hAnsi="宋体"/>
          <w:bCs/>
          <w:sz w:val="24"/>
          <w:szCs w:val="24"/>
          <w:highlight w:val="none"/>
        </w:rPr>
        <w:t>日期：</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pStyle w:val="69"/>
        <w:keepNext w:val="0"/>
        <w:keepLines w:val="0"/>
        <w:kinsoku w:val="0"/>
        <w:overflowPunct w:val="0"/>
        <w:snapToGrid w:val="0"/>
        <w:spacing w:before="0" w:after="0" w:line="240" w:lineRule="auto"/>
        <w:jc w:val="both"/>
        <w:rPr>
          <w:rFonts w:eastAsia="宋体" w:cs="宋体"/>
          <w:b w:val="0"/>
          <w:bCs/>
          <w:sz w:val="24"/>
          <w:szCs w:val="24"/>
          <w:highlight w:val="none"/>
        </w:rPr>
      </w:pPr>
    </w:p>
    <w:p>
      <w:pPr>
        <w:pStyle w:val="69"/>
        <w:keepNext w:val="0"/>
        <w:keepLines w:val="0"/>
        <w:kinsoku w:val="0"/>
        <w:overflowPunct w:val="0"/>
        <w:snapToGrid w:val="0"/>
        <w:spacing w:before="0" w:after="0" w:line="240" w:lineRule="auto"/>
        <w:jc w:val="both"/>
        <w:rPr>
          <w:rFonts w:eastAsia="宋体" w:cs="宋体"/>
          <w:b w:val="0"/>
          <w:bCs/>
          <w:sz w:val="28"/>
          <w:szCs w:val="28"/>
          <w:highlight w:val="none"/>
        </w:rPr>
      </w:pPr>
      <w:r>
        <w:rPr>
          <w:rFonts w:hint="eastAsia" w:eastAsia="宋体" w:cs="宋体"/>
          <w:b w:val="0"/>
          <w:bCs/>
          <w:sz w:val="24"/>
          <w:szCs w:val="24"/>
          <w:highlight w:val="none"/>
        </w:rPr>
        <w:t>备注：法定代表人身份证正反面复印件可单独一页，但需加盖企业公章。</w:t>
      </w:r>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9"/>
        <w:keepNext w:val="0"/>
        <w:keepLines w:val="0"/>
        <w:kinsoku w:val="0"/>
        <w:overflowPunct w:val="0"/>
        <w:snapToGrid w:val="0"/>
        <w:spacing w:before="0" w:after="0" w:line="240" w:lineRule="auto"/>
        <w:rPr>
          <w:rFonts w:eastAsia="宋体" w:cs="宋体"/>
          <w:sz w:val="28"/>
          <w:szCs w:val="28"/>
          <w:highlight w:val="none"/>
        </w:rPr>
      </w:pPr>
      <w:r>
        <w:rPr>
          <w:rFonts w:hint="eastAsia" w:eastAsia="宋体" w:cs="宋体"/>
          <w:b w:val="0"/>
          <w:bCs/>
          <w:sz w:val="28"/>
          <w:szCs w:val="28"/>
          <w:highlight w:val="none"/>
        </w:rPr>
        <w:t>附件4 法人授权委托书</w:t>
      </w:r>
    </w:p>
    <w:p>
      <w:pPr>
        <w:kinsoku w:val="0"/>
        <w:overflowPunct w:val="0"/>
        <w:snapToGrid w:val="0"/>
        <w:spacing w:line="520" w:lineRule="exact"/>
        <w:ind w:firstLine="630"/>
        <w:jc w:val="left"/>
        <w:rPr>
          <w:rFonts w:ascii="宋体" w:hAnsi="宋体" w:cs="宋体"/>
          <w:sz w:val="24"/>
          <w:szCs w:val="32"/>
          <w:highlight w:val="none"/>
        </w:rPr>
      </w:pPr>
      <w:r>
        <w:rPr>
          <w:rFonts w:hint="eastAsia" w:ascii="宋体" w:hAnsi="宋体" w:cs="宋体"/>
          <w:sz w:val="24"/>
          <w:szCs w:val="32"/>
          <w:highlight w:val="none"/>
        </w:rPr>
        <w:t>授权声明：</w:t>
      </w:r>
      <w:r>
        <w:rPr>
          <w:rFonts w:hint="eastAsia" w:ascii="宋体" w:hAnsi="宋体" w:cs="宋体"/>
          <w:sz w:val="24"/>
          <w:szCs w:val="32"/>
          <w:highlight w:val="none"/>
          <w:u w:val="single"/>
        </w:rPr>
        <w:t xml:space="preserve"> </w:t>
      </w:r>
      <w:r>
        <w:rPr>
          <w:rFonts w:hint="eastAsia"/>
          <w:sz w:val="24"/>
          <w:szCs w:val="24"/>
          <w:highlight w:val="none"/>
          <w:u w:val="single"/>
        </w:rPr>
        <w:t xml:space="preserve">（报价单位名称） </w:t>
      </w:r>
      <w:r>
        <w:rPr>
          <w:rFonts w:hint="eastAsia"/>
          <w:sz w:val="24"/>
          <w:szCs w:val="24"/>
          <w:highlight w:val="none"/>
        </w:rPr>
        <w:t>授权</w:t>
      </w:r>
      <w:r>
        <w:rPr>
          <w:rFonts w:hint="eastAsia"/>
          <w:sz w:val="24"/>
          <w:szCs w:val="24"/>
          <w:highlight w:val="none"/>
          <w:u w:val="single"/>
        </w:rPr>
        <w:t xml:space="preserve"> （授权代理人） </w:t>
      </w:r>
      <w:r>
        <w:rPr>
          <w:rFonts w:hint="eastAsia"/>
          <w:sz w:val="24"/>
          <w:szCs w:val="24"/>
          <w:highlight w:val="none"/>
        </w:rPr>
        <w:t>为我公司的代理人，以本公司的名义负责</w:t>
      </w:r>
      <w:r>
        <w:rPr>
          <w:rFonts w:hint="eastAsia"/>
          <w:bCs/>
          <w:sz w:val="24"/>
          <w:szCs w:val="32"/>
          <w:highlight w:val="none"/>
        </w:rPr>
        <w:t>参与</w:t>
      </w:r>
      <w:r>
        <w:rPr>
          <w:rFonts w:hint="eastAsia"/>
          <w:bCs/>
          <w:sz w:val="24"/>
          <w:szCs w:val="32"/>
          <w:highlight w:val="none"/>
          <w:u w:val="single"/>
        </w:rPr>
        <w:t xml:space="preserve"> </w:t>
      </w:r>
      <w:r>
        <w:rPr>
          <w:rFonts w:hint="eastAsia" w:ascii="宋体" w:hAnsi="宋体" w:cs="宋体"/>
          <w:spacing w:val="-4"/>
          <w:sz w:val="24"/>
          <w:szCs w:val="24"/>
          <w:highlight w:val="none"/>
          <w:u w:val="single"/>
        </w:rPr>
        <w:t>锅炉汽水系统管道及主蒸汽阀门更换</w:t>
      </w:r>
      <w:r>
        <w:rPr>
          <w:rFonts w:hint="eastAsia" w:ascii="宋体" w:hAnsi="宋体" w:cs="宋体"/>
          <w:kern w:val="2"/>
          <w:sz w:val="24"/>
          <w:szCs w:val="24"/>
          <w:highlight w:val="none"/>
          <w:u w:val="single"/>
        </w:rPr>
        <w:t xml:space="preserve"> </w:t>
      </w:r>
      <w:r>
        <w:rPr>
          <w:rFonts w:hint="eastAsia"/>
          <w:bCs/>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sz w:val="24"/>
          <w:highlight w:val="none"/>
        </w:rPr>
        <w:t>本授权书于</w:t>
      </w:r>
      <w:r>
        <w:rPr>
          <w:rFonts w:ascii="宋体" w:hAnsi="宋体"/>
          <w:bCs/>
          <w:sz w:val="24"/>
          <w:highlight w:val="none"/>
          <w:u w:val="single"/>
        </w:rPr>
        <w:t xml:space="preserve">      </w:t>
      </w:r>
      <w:r>
        <w:rPr>
          <w:rFonts w:hint="eastAsia"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r>
        <w:rPr>
          <w:rFonts w:hint="eastAsia" w:ascii="宋体" w:hAnsi="宋体" w:cs="宋体"/>
          <w:sz w:val="24"/>
          <w:szCs w:val="32"/>
          <w:highlight w:val="none"/>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附：授权代理人身份证正反面复印件</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3" w:type="dxa"/>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4643" w:type="dxa"/>
          </w:tcPr>
          <w:p>
            <w:pPr>
              <w:spacing w:line="440" w:lineRule="exact"/>
              <w:rPr>
                <w:rFonts w:ascii="宋体" w:hAnsi="宋体"/>
                <w:sz w:val="24"/>
                <w:szCs w:val="24"/>
                <w:highlight w:val="none"/>
              </w:rPr>
            </w:pPr>
          </w:p>
        </w:tc>
      </w:tr>
    </w:tbl>
    <w:p>
      <w:pPr>
        <w:spacing w:line="440" w:lineRule="exact"/>
        <w:ind w:firstLine="420"/>
        <w:rPr>
          <w:rFonts w:ascii="宋体" w:hAnsi="宋体"/>
          <w:szCs w:val="21"/>
          <w:highlight w:val="none"/>
        </w:rPr>
      </w:pPr>
    </w:p>
    <w:p>
      <w:pPr>
        <w:kinsoku w:val="0"/>
        <w:overflowPunct w:val="0"/>
        <w:snapToGrid w:val="0"/>
        <w:spacing w:line="520" w:lineRule="exact"/>
        <w:ind w:firstLine="3600" w:firstLineChars="1500"/>
        <w:jc w:val="left"/>
        <w:rPr>
          <w:rFonts w:ascii="宋体" w:hAnsi="宋体"/>
          <w:bCs/>
          <w:sz w:val="24"/>
          <w:highlight w:val="none"/>
        </w:rPr>
      </w:pPr>
      <w:r>
        <w:rPr>
          <w:rFonts w:hint="eastAsia" w:ascii="宋体" w:hAnsi="宋体"/>
          <w:bCs/>
          <w:sz w:val="24"/>
          <w:highlight w:val="none"/>
        </w:rPr>
        <w:t>报价单位（公章）：</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p>
    <w:p>
      <w:pPr>
        <w:kinsoku w:val="0"/>
        <w:overflowPunct w:val="0"/>
        <w:snapToGrid w:val="0"/>
        <w:spacing w:line="520" w:lineRule="exact"/>
        <w:ind w:firstLine="3600" w:firstLineChars="1500"/>
        <w:jc w:val="left"/>
        <w:rPr>
          <w:rFonts w:ascii="宋体" w:hAnsi="宋体"/>
          <w:bCs/>
          <w:sz w:val="24"/>
          <w:highlight w:val="none"/>
          <w:u w:val="single"/>
        </w:rPr>
      </w:pPr>
      <w:r>
        <w:rPr>
          <w:rFonts w:hint="eastAsia" w:ascii="宋体" w:hAnsi="宋体"/>
          <w:bCs/>
          <w:sz w:val="24"/>
          <w:highlight w:val="none"/>
        </w:rPr>
        <w:t>授权代理人签字：</w:t>
      </w:r>
      <w:r>
        <w:rPr>
          <w:rFonts w:ascii="宋体" w:hAnsi="宋体"/>
          <w:bCs/>
          <w:sz w:val="24"/>
          <w:highlight w:val="none"/>
          <w:u w:val="single"/>
        </w:rPr>
        <w:t xml:space="preserve">                 </w:t>
      </w:r>
      <w:r>
        <w:rPr>
          <w:rFonts w:hint="eastAsia" w:ascii="宋体" w:hAnsi="宋体"/>
          <w:bCs/>
          <w:sz w:val="24"/>
          <w:highlight w:val="none"/>
          <w:u w:val="single"/>
        </w:rPr>
        <w:t xml:space="preserve">            </w:t>
      </w: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pStyle w:val="69"/>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备注：1、报价方为企业法定代表人，则本附件不需要提供。</w:t>
      </w:r>
    </w:p>
    <w:p>
      <w:pPr>
        <w:pStyle w:val="69"/>
        <w:keepNext w:val="0"/>
        <w:keepLines w:val="0"/>
        <w:numPr>
          <w:ilvl w:val="0"/>
          <w:numId w:val="32"/>
        </w:numPr>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highlight w:val="none"/>
        </w:rPr>
      </w:pP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9"/>
        <w:keepNext w:val="0"/>
        <w:keepLines w:val="0"/>
        <w:spacing w:before="0" w:after="0" w:line="440" w:lineRule="exact"/>
        <w:rPr>
          <w:rFonts w:eastAsia="宋体" w:cs="宋体"/>
          <w:b w:val="0"/>
          <w:bCs/>
          <w:sz w:val="28"/>
          <w:szCs w:val="28"/>
          <w:highlight w:val="none"/>
        </w:rPr>
      </w:pPr>
      <w:r>
        <w:rPr>
          <w:rFonts w:hint="eastAsia" w:eastAsia="宋体" w:cs="宋体"/>
          <w:b w:val="0"/>
          <w:bCs/>
          <w:sz w:val="28"/>
          <w:szCs w:val="28"/>
          <w:highlight w:val="none"/>
        </w:rPr>
        <w:t>附件5 关于资格的声明函</w:t>
      </w:r>
    </w:p>
    <w:p>
      <w:pPr>
        <w:kinsoku w:val="0"/>
        <w:overflowPunct w:val="0"/>
        <w:adjustRightInd/>
        <w:spacing w:line="40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kinsoku w:val="0"/>
        <w:overflowPunct w:val="0"/>
        <w:adjustRightInd/>
        <w:spacing w:line="400" w:lineRule="atLeast"/>
        <w:ind w:firstLine="720" w:firstLineChars="300"/>
        <w:rPr>
          <w:sz w:val="24"/>
          <w:szCs w:val="24"/>
          <w:highlight w:val="none"/>
        </w:rPr>
      </w:pPr>
      <w:r>
        <w:rPr>
          <w:rFonts w:hint="eastAsia"/>
          <w:sz w:val="24"/>
          <w:szCs w:val="24"/>
          <w:highlight w:val="none"/>
        </w:rPr>
        <w:t>关于贵司</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rPr>
        <w:t>锅炉汽水系统管道及主蒸汽阀门更换</w:t>
      </w:r>
      <w:r>
        <w:rPr>
          <w:rFonts w:hint="eastAsia" w:ascii="宋体" w:hAnsi="宋体" w:cs="宋体"/>
          <w:kern w:val="2"/>
          <w:sz w:val="24"/>
          <w:szCs w:val="24"/>
          <w:highlight w:val="none"/>
          <w:u w:val="single"/>
        </w:rPr>
        <w:t xml:space="preserve"> </w:t>
      </w:r>
      <w:r>
        <w:rPr>
          <w:rFonts w:hint="eastAsia"/>
          <w:sz w:val="24"/>
          <w:szCs w:val="24"/>
          <w:highlight w:val="none"/>
        </w:rPr>
        <w:t>项目的报价邀请，本签字人愿意参加报价，提供谈判文件中规定的</w:t>
      </w:r>
      <w:r>
        <w:rPr>
          <w:rFonts w:hint="eastAsia" w:ascii="宋体" w:hAnsi="宋体" w:cs="宋体"/>
          <w:kern w:val="2"/>
          <w:sz w:val="24"/>
          <w:szCs w:val="24"/>
          <w:highlight w:val="none"/>
          <w:u w:val="single"/>
        </w:rPr>
        <w:t xml:space="preserve"> </w:t>
      </w:r>
      <w:r>
        <w:rPr>
          <w:rFonts w:hint="eastAsia" w:ascii="宋体" w:hAnsi="宋体" w:cs="宋体"/>
          <w:spacing w:val="-4"/>
          <w:sz w:val="24"/>
          <w:szCs w:val="24"/>
          <w:highlight w:val="none"/>
          <w:u w:val="single"/>
        </w:rPr>
        <w:t>锅炉汽水系统管道及主蒸汽阀门更换</w:t>
      </w:r>
      <w:r>
        <w:rPr>
          <w:rFonts w:hint="eastAsia" w:ascii="宋体" w:hAnsi="宋体" w:cs="宋体"/>
          <w:kern w:val="2"/>
          <w:sz w:val="24"/>
          <w:szCs w:val="24"/>
          <w:highlight w:val="none"/>
          <w:u w:val="single"/>
        </w:rPr>
        <w:t xml:space="preserve"> </w:t>
      </w:r>
      <w:r>
        <w:rPr>
          <w:rFonts w:hint="eastAsia" w:ascii="宋体" w:hAnsi="宋体" w:cs="宋体"/>
          <w:kern w:val="2"/>
          <w:sz w:val="24"/>
          <w:szCs w:val="24"/>
          <w:highlight w:val="none"/>
        </w:rPr>
        <w:t>的相关</w:t>
      </w:r>
      <w:r>
        <w:rPr>
          <w:rFonts w:hint="eastAsia"/>
          <w:sz w:val="24"/>
          <w:szCs w:val="24"/>
          <w:highlight w:val="none"/>
        </w:rPr>
        <w:t>服务，并证明提交的下列文件和说明是准确的和真实的。</w:t>
      </w:r>
    </w:p>
    <w:p>
      <w:pPr>
        <w:pStyle w:val="30"/>
        <w:numPr>
          <w:ilvl w:val="0"/>
          <w:numId w:val="33"/>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宋体"/>
          <w:szCs w:val="24"/>
          <w:highlight w:val="none"/>
          <w:shd w:val="clear" w:color="auto" w:fill="FFFFFF"/>
        </w:rPr>
        <w:t>响应采购、参加报价竞争的系中华人民共和国境内的企业法人，且具有独立订立合同的权力。</w:t>
      </w:r>
    </w:p>
    <w:p>
      <w:pPr>
        <w:pStyle w:val="30"/>
        <w:numPr>
          <w:ilvl w:val="0"/>
          <w:numId w:val="33"/>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zCs w:val="24"/>
          <w:highlight w:val="none"/>
          <w:shd w:val="clear" w:color="auto" w:fill="FFFFFF"/>
        </w:rPr>
      </w:pPr>
      <w:r>
        <w:rPr>
          <w:rFonts w:hint="eastAsia" w:ascii="宋体" w:hAnsi="Calibri" w:cs="宋体"/>
          <w:color w:val="000000"/>
          <w:szCs w:val="24"/>
          <w:highlight w:val="none"/>
        </w:rPr>
        <w:t>具</w:t>
      </w:r>
      <w:r>
        <w:rPr>
          <w:rFonts w:hint="eastAsia" w:ascii="宋体" w:hAnsi="Calibri" w:cs="宋体"/>
          <w:b w:val="0"/>
          <w:bCs w:val="0"/>
          <w:color w:val="000000"/>
          <w:szCs w:val="24"/>
          <w:highlight w:val="none"/>
        </w:rPr>
        <w:t>备有效的国家行政主管部门颁发的GC2、</w:t>
      </w:r>
      <w:r>
        <w:rPr>
          <w:rFonts w:hint="eastAsia" w:ascii="宋体" w:hAnsi="Calibri" w:cs="宋体"/>
          <w:b w:val="0"/>
          <w:bCs w:val="0"/>
          <w:color w:val="000000"/>
          <w:szCs w:val="24"/>
          <w:highlight w:val="none"/>
          <w:lang w:eastAsia="zh-CN"/>
        </w:rPr>
        <w:t>GCD(GD1)</w:t>
      </w:r>
      <w:r>
        <w:rPr>
          <w:rFonts w:hint="eastAsia" w:ascii="宋体" w:hAnsi="Calibri" w:cs="宋体"/>
          <w:b w:val="0"/>
          <w:bCs w:val="0"/>
          <w:color w:val="000000"/>
          <w:szCs w:val="24"/>
          <w:highlight w:val="none"/>
        </w:rPr>
        <w:t>压力管道安装、维修资质，锅炉安装维修一级许可证资质</w:t>
      </w:r>
      <w:r>
        <w:rPr>
          <w:rFonts w:hint="eastAsia" w:ascii="宋体" w:hAnsi="Calibri" w:cs="宋体"/>
          <w:color w:val="000000"/>
          <w:szCs w:val="24"/>
          <w:highlight w:val="none"/>
        </w:rPr>
        <w:t>，提供资质证书复印件并加盖公章</w:t>
      </w:r>
      <w:r>
        <w:rPr>
          <w:rFonts w:hint="eastAsia" w:ascii="宋体" w:hAnsi="宋体" w:cs="宋体"/>
          <w:szCs w:val="24"/>
          <w:highlight w:val="none"/>
          <w:shd w:val="clear" w:color="auto" w:fill="FFFFFF"/>
        </w:rPr>
        <w:t>。</w:t>
      </w:r>
    </w:p>
    <w:p>
      <w:pPr>
        <w:pStyle w:val="30"/>
        <w:numPr>
          <w:ilvl w:val="0"/>
          <w:numId w:val="33"/>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highlight w:val="none"/>
        </w:rPr>
      </w:pPr>
      <w:r>
        <w:rPr>
          <w:rFonts w:hint="eastAsia" w:ascii="宋体" w:hAnsi="宋体" w:cs="仿宋_GB2312"/>
          <w:szCs w:val="24"/>
          <w:highlight w:val="none"/>
        </w:rPr>
        <w:t>自2019年1月1日起至</w:t>
      </w:r>
      <w:r>
        <w:rPr>
          <w:rFonts w:hint="eastAsia" w:ascii="宋体" w:hAnsi="宋体" w:cs="仿宋_GB2312"/>
          <w:szCs w:val="24"/>
          <w:highlight w:val="none"/>
          <w:lang w:val="en-US" w:eastAsia="zh-CN"/>
        </w:rPr>
        <w:t>报价</w:t>
      </w:r>
      <w:r>
        <w:rPr>
          <w:rFonts w:hint="eastAsia" w:ascii="宋体" w:hAnsi="宋体" w:cs="仿宋_GB2312"/>
          <w:szCs w:val="24"/>
          <w:highlight w:val="none"/>
        </w:rPr>
        <w:t>截止日期，具备国内不少于</w:t>
      </w:r>
      <w:r>
        <w:rPr>
          <w:rFonts w:hint="eastAsia" w:ascii="宋体" w:hAnsi="宋体" w:cs="仿宋_GB2312"/>
          <w:szCs w:val="24"/>
          <w:highlight w:val="none"/>
          <w:lang w:val="en-US" w:eastAsia="zh-CN"/>
        </w:rPr>
        <w:t>2</w:t>
      </w:r>
      <w:r>
        <w:rPr>
          <w:rFonts w:hint="eastAsia" w:ascii="宋体" w:hAnsi="宋体" w:cs="仿宋_GB2312"/>
          <w:szCs w:val="24"/>
          <w:highlight w:val="none"/>
        </w:rPr>
        <w:t>份</w:t>
      </w:r>
      <w:r>
        <w:rPr>
          <w:rFonts w:hint="eastAsia" w:ascii="宋体" w:hAnsi="宋体" w:cs="仿宋_GB2312"/>
          <w:szCs w:val="24"/>
          <w:highlight w:val="none"/>
          <w:lang w:eastAsia="zh-CN"/>
        </w:rPr>
        <w:t>GCD(GD1)</w:t>
      </w:r>
      <w:r>
        <w:rPr>
          <w:rFonts w:hint="eastAsia" w:ascii="宋体" w:hAnsi="宋体" w:cs="仿宋_GB2312"/>
          <w:szCs w:val="24"/>
          <w:highlight w:val="none"/>
        </w:rPr>
        <w:t>类管道安装或维修施工业绩，提供合同复印件并加盖公章。</w:t>
      </w:r>
    </w:p>
    <w:p>
      <w:pPr>
        <w:pStyle w:val="30"/>
        <w:numPr>
          <w:ilvl w:val="0"/>
          <w:numId w:val="33"/>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w:t>
      </w:r>
      <w:r>
        <w:rPr>
          <w:rFonts w:hint="eastAsia" w:ascii="宋体" w:hAnsi="宋体" w:cs="宋体"/>
          <w:szCs w:val="24"/>
          <w:highlight w:val="none"/>
          <w:shd w:val="clear" w:color="auto" w:fill="FFFFFF"/>
        </w:rPr>
        <w:t>具有良好的银行资信和商业信誉，没有处于被责令停业或破产状态，且资产未被重组、接管和冻结。</w:t>
      </w:r>
    </w:p>
    <w:p>
      <w:pPr>
        <w:pStyle w:val="30"/>
        <w:numPr>
          <w:ilvl w:val="0"/>
          <w:numId w:val="33"/>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信誉要求：报价方没有被国家、福建省省级有关部门及厦门市有关部门暂停招报价或市场准入资格且在公示处罚期内。</w:t>
      </w:r>
    </w:p>
    <w:p>
      <w:pPr>
        <w:kinsoku w:val="0"/>
        <w:overflowPunct w:val="0"/>
        <w:adjustRightInd/>
        <w:spacing w:line="400" w:lineRule="atLeast"/>
        <w:rPr>
          <w:rFonts w:hAnsi="宋体"/>
          <w:b/>
          <w:sz w:val="24"/>
          <w:szCs w:val="24"/>
          <w:highlight w:val="none"/>
        </w:rPr>
      </w:pPr>
    </w:p>
    <w:p>
      <w:pPr>
        <w:kinsoku w:val="0"/>
        <w:overflowPunct w:val="0"/>
        <w:adjustRightInd/>
        <w:spacing w:line="400" w:lineRule="atLeast"/>
        <w:rPr>
          <w:sz w:val="24"/>
          <w:szCs w:val="24"/>
          <w:highlight w:val="none"/>
        </w:rPr>
      </w:pPr>
      <w:r>
        <w:rPr>
          <w:rFonts w:hint="eastAsia" w:hAnsi="宋体"/>
          <w:b/>
          <w:sz w:val="24"/>
          <w:szCs w:val="24"/>
          <w:highlight w:val="none"/>
        </w:rPr>
        <w:t>注：第4、</w:t>
      </w:r>
      <w:r>
        <w:rPr>
          <w:rFonts w:hint="eastAsia" w:hAnsi="宋体"/>
          <w:sz w:val="24"/>
          <w:szCs w:val="24"/>
          <w:highlight w:val="none"/>
        </w:rPr>
        <w:t>5</w:t>
      </w:r>
      <w:r>
        <w:rPr>
          <w:rFonts w:hint="eastAsia" w:hAnsi="宋体"/>
          <w:b/>
          <w:sz w:val="24"/>
          <w:szCs w:val="24"/>
          <w:highlight w:val="none"/>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highlight w:val="none"/>
        </w:rPr>
      </w:pPr>
    </w:p>
    <w:p>
      <w:pPr>
        <w:kinsoku w:val="0"/>
        <w:overflowPunct w:val="0"/>
        <w:adjustRightInd/>
        <w:spacing w:line="400" w:lineRule="atLeast"/>
        <w:ind w:firstLine="4800" w:firstLineChars="2000"/>
        <w:rPr>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snapToGrid w:val="0"/>
        <w:spacing w:line="420" w:lineRule="exact"/>
        <w:jc w:val="left"/>
        <w:rPr>
          <w:rFonts w:ascii="宋体" w:hAnsi="宋体"/>
          <w:highlight w:val="none"/>
        </w:rPr>
      </w:pPr>
      <w:r>
        <w:rPr>
          <w:rFonts w:hint="eastAsia" w:ascii="宋体" w:hAnsi="宋体"/>
          <w:highlight w:val="none"/>
        </w:rPr>
        <w:t xml:space="preserve"> </w:t>
      </w:r>
    </w:p>
    <w:p>
      <w:pPr>
        <w:pStyle w:val="69"/>
        <w:keepNext w:val="0"/>
        <w:keepLines w:val="0"/>
        <w:kinsoku w:val="0"/>
        <w:overflowPunct w:val="0"/>
        <w:snapToGrid w:val="0"/>
        <w:spacing w:before="0" w:after="0" w:line="440" w:lineRule="atLeast"/>
        <w:jc w:val="both"/>
        <w:rPr>
          <w:rFonts w:eastAsia="宋体" w:cs="宋体"/>
          <w:b w:val="0"/>
          <w:bCs/>
          <w:sz w:val="28"/>
          <w:szCs w:val="28"/>
          <w:highlight w:val="none"/>
        </w:rPr>
      </w:pPr>
      <w:bookmarkStart w:id="133" w:name="_Toc13674_WPSOffice_Level2"/>
      <w:bookmarkStart w:id="134" w:name="_Toc3242_WPSOffice_Level1"/>
      <w:bookmarkStart w:id="135" w:name="_Toc7642_WPSOffice_Level2"/>
      <w:bookmarkStart w:id="136" w:name="_Toc6643_WPSOffice_Level2"/>
      <w:bookmarkStart w:id="137" w:name="_Toc29011_WPSOffice_Level2"/>
      <w:bookmarkStart w:id="138" w:name="_Toc13430_WPSOffice_Level1"/>
      <w:bookmarkStart w:id="139" w:name="_Toc29781_WPSOffice_Level1"/>
      <w:bookmarkStart w:id="140" w:name="_Toc26678_WPSOffice_Level1"/>
      <w:bookmarkStart w:id="141" w:name="_Toc714_WPSOffice_Level1"/>
      <w:bookmarkStart w:id="142" w:name="_Toc21441_WPSOffice_Level1"/>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9"/>
        <w:keepNext w:val="0"/>
        <w:keepLines w:val="0"/>
        <w:kinsoku w:val="0"/>
        <w:overflowPunct w:val="0"/>
        <w:snapToGrid w:val="0"/>
        <w:spacing w:before="0" w:after="0" w:line="440" w:lineRule="atLeast"/>
        <w:rPr>
          <w:rFonts w:eastAsia="宋体" w:cs="宋体"/>
          <w:b w:val="0"/>
          <w:bCs/>
          <w:sz w:val="28"/>
          <w:szCs w:val="28"/>
          <w:highlight w:val="none"/>
        </w:rPr>
      </w:pPr>
      <w:r>
        <w:rPr>
          <w:rFonts w:hint="eastAsia" w:eastAsia="宋体" w:cs="宋体"/>
          <w:b w:val="0"/>
          <w:bCs/>
          <w:sz w:val="28"/>
          <w:szCs w:val="28"/>
          <w:highlight w:val="none"/>
        </w:rPr>
        <w:t>附件6 报价方廉洁承诺书</w:t>
      </w:r>
      <w:bookmarkEnd w:id="133"/>
      <w:bookmarkEnd w:id="134"/>
      <w:bookmarkEnd w:id="135"/>
      <w:bookmarkEnd w:id="136"/>
      <w:bookmarkEnd w:id="137"/>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highlight w:val="none"/>
        </w:rPr>
        <w:t xml:space="preserve"> </w:t>
      </w:r>
    </w:p>
    <w:p>
      <w:pPr>
        <w:numPr>
          <w:ilvl w:val="0"/>
          <w:numId w:val="34"/>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自觉遵守国家法律、法规，按照《中国共产党纪律处分条例》、《中华人民共和国反不正当竞争法》、《关于禁止商业贿赂行为的暂行规定》以及有关要求进行各项业务活动。</w:t>
      </w:r>
    </w:p>
    <w:p>
      <w:pPr>
        <w:numPr>
          <w:ilvl w:val="0"/>
          <w:numId w:val="34"/>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34"/>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不与其他经营者串通报价和报价，不排挤其他经营者的公平竞争，损害其他经营者的合法权益；不在项目的预决算编制工作中弄虚作假、高估冒算。</w:t>
      </w:r>
    </w:p>
    <w:p>
      <w:pPr>
        <w:numPr>
          <w:ilvl w:val="0"/>
          <w:numId w:val="34"/>
        </w:numPr>
        <w:kinsoku w:val="0"/>
        <w:overflowPunct w:val="0"/>
        <w:snapToGrid w:val="0"/>
        <w:spacing w:line="440" w:lineRule="atLeast"/>
        <w:jc w:val="left"/>
        <w:rPr>
          <w:rFonts w:ascii="宋体" w:hAnsi="宋体" w:cs="宋体"/>
          <w:sz w:val="24"/>
          <w:szCs w:val="24"/>
          <w:highlight w:val="none"/>
        </w:rPr>
      </w:pPr>
      <w:r>
        <w:rPr>
          <w:rFonts w:hint="eastAsia" w:ascii="宋体" w:hAnsi="宋体" w:cs="宋体"/>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34"/>
        </w:numPr>
        <w:kinsoku w:val="0"/>
        <w:overflowPunct w:val="0"/>
        <w:snapToGrid w:val="0"/>
        <w:spacing w:line="440" w:lineRule="atLeast"/>
        <w:jc w:val="left"/>
        <w:rPr>
          <w:rFonts w:ascii="宋体" w:hAnsi="宋体"/>
          <w:sz w:val="24"/>
          <w:szCs w:val="36"/>
          <w:highlight w:val="none"/>
        </w:rPr>
      </w:pPr>
      <w:r>
        <w:rPr>
          <w:rFonts w:hint="eastAsia" w:ascii="宋体" w:hAnsi="宋体" w:cs="宋体"/>
          <w:sz w:val="24"/>
          <w:szCs w:val="24"/>
          <w:highlight w:val="none"/>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特此承诺。</w:t>
      </w:r>
    </w:p>
    <w:p>
      <w:pPr>
        <w:kinsoku w:val="0"/>
        <w:overflowPunct w:val="0"/>
        <w:snapToGrid w:val="0"/>
        <w:spacing w:line="440" w:lineRule="atLeast"/>
        <w:ind w:firstLine="420" w:firstLineChars="200"/>
        <w:jc w:val="left"/>
        <w:rPr>
          <w:rFonts w:ascii="宋体" w:hAnsi="宋体"/>
          <w:szCs w:val="28"/>
          <w:highlight w:val="none"/>
        </w:rPr>
      </w:pP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报价单位（盖章）：</w:t>
      </w:r>
      <w:r>
        <w:rPr>
          <w:rFonts w:hint="eastAsia" w:ascii="宋体" w:hAnsi="宋体"/>
          <w:sz w:val="24"/>
          <w:szCs w:val="24"/>
          <w:highlight w:val="none"/>
          <w:u w:val="single"/>
        </w:rPr>
        <w:t xml:space="preserve">         </w:t>
      </w: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w:t>
      </w:r>
    </w:p>
    <w:p>
      <w:pPr>
        <w:kinsoku w:val="0"/>
        <w:overflowPunct w:val="0"/>
        <w:adjustRightInd/>
        <w:spacing w:line="400" w:lineRule="atLeast"/>
        <w:jc w:val="center"/>
        <w:rPr>
          <w:rFonts w:ascii="宋体" w:hAnsi="宋体"/>
          <w:b/>
          <w:bCs/>
          <w:sz w:val="28"/>
          <w:szCs w:val="28"/>
          <w:highlight w:val="none"/>
        </w:rPr>
      </w:pPr>
    </w:p>
    <w:p>
      <w:pPr>
        <w:autoSpaceDE/>
        <w:autoSpaceDN/>
        <w:snapToGrid w:val="0"/>
        <w:jc w:val="center"/>
        <w:textAlignment w:val="auto"/>
        <w:rPr>
          <w:rFonts w:ascii="宋体" w:hAnsi="宋体"/>
          <w:bCs/>
          <w:sz w:val="28"/>
          <w:szCs w:val="28"/>
          <w:highlight w:val="none"/>
        </w:rPr>
      </w:pPr>
    </w:p>
    <w:p>
      <w:pPr>
        <w:widowControl/>
        <w:autoSpaceDE/>
        <w:autoSpaceDN/>
        <w:adjustRightInd/>
        <w:spacing w:line="240" w:lineRule="auto"/>
        <w:jc w:val="left"/>
        <w:textAlignment w:val="auto"/>
        <w:rPr>
          <w:rFonts w:ascii="宋体" w:hAnsi="宋体"/>
          <w:bCs/>
          <w:sz w:val="28"/>
          <w:szCs w:val="28"/>
          <w:highlight w:val="none"/>
        </w:rPr>
      </w:pPr>
      <w:r>
        <w:rPr>
          <w:rFonts w:ascii="宋体" w:hAnsi="宋体"/>
          <w:bCs/>
          <w:sz w:val="28"/>
          <w:szCs w:val="28"/>
          <w:highlight w:val="none"/>
        </w:rPr>
        <w:br w:type="page"/>
      </w: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附件7 企业能有效识别二维码且加盖报价单位公章的营业执照复印件</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附件8 企业加盖报价单位公章的相关资质证明文件</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附件9 相关业绩证明，提供合同复印件（加盖报价单位公章）</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附件10 报价方认为需要提供的其他资料</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附件11 项目管理机构配备情况</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附件12 施工组织方案</w:t>
      </w:r>
    </w:p>
    <w:p>
      <w:pPr>
        <w:kinsoku w:val="0"/>
        <w:overflowPunct w:val="0"/>
        <w:snapToGrid w:val="0"/>
        <w:spacing w:line="440" w:lineRule="atLeast"/>
        <w:jc w:val="left"/>
        <w:rPr>
          <w:rFonts w:ascii="宋体" w:hAnsi="宋体"/>
          <w:highlight w:val="none"/>
        </w:rPr>
      </w:pPr>
    </w:p>
    <w:p>
      <w:pPr>
        <w:kinsoku w:val="0"/>
        <w:overflowPunct w:val="0"/>
        <w:snapToGrid w:val="0"/>
        <w:spacing w:line="44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spacing w:line="360" w:lineRule="auto"/>
        <w:ind w:firstLine="480" w:firstLineChars="200"/>
        <w:rPr>
          <w:rFonts w:ascii="宋体" w:hAnsi="宋体" w:cs="仿宋"/>
          <w:sz w:val="24"/>
          <w:highlight w:val="none"/>
        </w:rPr>
      </w:pPr>
    </w:p>
    <w:p>
      <w:pPr>
        <w:spacing w:line="360" w:lineRule="auto"/>
        <w:ind w:firstLine="480" w:firstLineChars="200"/>
        <w:rPr>
          <w:rFonts w:ascii="宋体" w:hAnsi="宋体" w:cs="仿宋"/>
          <w:sz w:val="24"/>
          <w:highlight w:val="none"/>
        </w:rPr>
      </w:pPr>
      <w:r>
        <w:rPr>
          <w:rFonts w:hint="eastAsia" w:ascii="宋体" w:hAnsi="宋体" w:cs="仿宋"/>
          <w:sz w:val="24"/>
          <w:highlight w:val="none"/>
        </w:rPr>
        <w:t>根据贵方采购项目的采购公告，我司对该项目施工组织方案具体承诺如下：</w:t>
      </w:r>
    </w:p>
    <w:p>
      <w:pPr>
        <w:spacing w:line="360" w:lineRule="auto"/>
        <w:ind w:firstLine="480" w:firstLineChars="200"/>
        <w:rPr>
          <w:rFonts w:ascii="宋体" w:hAnsi="宋体" w:cs="仿宋"/>
          <w:sz w:val="24"/>
          <w:highlight w:val="none"/>
        </w:rPr>
      </w:pPr>
    </w:p>
    <w:p>
      <w:pPr>
        <w:jc w:val="center"/>
        <w:rPr>
          <w:rFonts w:ascii="宋体" w:hAnsi="宋体" w:cs="仿宋"/>
          <w:b/>
          <w:sz w:val="24"/>
          <w:highlight w:val="none"/>
        </w:rPr>
      </w:pPr>
      <w:bookmarkStart w:id="143" w:name="_Toc405887122"/>
      <w:bookmarkStart w:id="144" w:name="_Toc406776931"/>
      <w:bookmarkStart w:id="145" w:name="_Toc405820983"/>
      <w:bookmarkStart w:id="146" w:name="_Toc405819622"/>
      <w:bookmarkStart w:id="147" w:name="_Toc404779619"/>
      <w:r>
        <w:rPr>
          <w:rFonts w:hint="eastAsia" w:ascii="宋体" w:hAnsi="宋体" w:cs="仿宋"/>
          <w:b/>
          <w:sz w:val="24"/>
          <w:highlight w:val="none"/>
        </w:rPr>
        <w:t>（内容根据谈判文件要求自拟）</w:t>
      </w:r>
      <w:bookmarkEnd w:id="143"/>
      <w:bookmarkEnd w:id="144"/>
      <w:bookmarkEnd w:id="145"/>
      <w:bookmarkEnd w:id="146"/>
      <w:bookmarkEnd w:id="147"/>
    </w:p>
    <w:p>
      <w:pPr>
        <w:kinsoku w:val="0"/>
        <w:overflowPunct w:val="0"/>
        <w:snapToGrid w:val="0"/>
        <w:spacing w:line="440" w:lineRule="atLeast"/>
        <w:jc w:val="left"/>
        <w:rPr>
          <w:rFonts w:ascii="宋体" w:hAnsi="宋体"/>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w:t>
      </w:r>
    </w:p>
    <w:p>
      <w:pPr>
        <w:autoSpaceDE/>
        <w:autoSpaceDN/>
        <w:snapToGrid w:val="0"/>
        <w:jc w:val="center"/>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sectPr>
          <w:pgSz w:w="11906" w:h="16838"/>
          <w:pgMar w:top="1418" w:right="1418" w:bottom="1134" w:left="1418" w:header="1247" w:footer="1134" w:gutter="0"/>
          <w:cols w:space="720" w:num="1"/>
          <w:docGrid w:linePitch="326" w:charSpace="0"/>
        </w:sect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附件13  质量保证和</w:t>
      </w:r>
      <w:r>
        <w:rPr>
          <w:rFonts w:ascii="宋体" w:hAnsi="宋体"/>
          <w:bCs/>
          <w:sz w:val="28"/>
          <w:szCs w:val="28"/>
          <w:highlight w:val="none"/>
        </w:rPr>
        <w:t>售后服务</w:t>
      </w:r>
      <w:r>
        <w:rPr>
          <w:rFonts w:hint="eastAsia" w:ascii="宋体" w:hAnsi="宋体"/>
          <w:bCs/>
          <w:sz w:val="28"/>
          <w:szCs w:val="28"/>
          <w:highlight w:val="none"/>
        </w:rPr>
        <w:t>承诺书</w:t>
      </w:r>
    </w:p>
    <w:p>
      <w:pPr>
        <w:pStyle w:val="10"/>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厦门海发环保能源股份有限公司：</w:t>
      </w:r>
    </w:p>
    <w:p>
      <w:pPr>
        <w:pStyle w:val="10"/>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 xml:space="preserve">     根据谈判文件要求，我司对该项目做出以下承诺：</w:t>
      </w:r>
    </w:p>
    <w:p>
      <w:pPr>
        <w:pStyle w:val="10"/>
        <w:numPr>
          <w:ilvl w:val="0"/>
          <w:numId w:val="35"/>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10"/>
        <w:numPr>
          <w:ilvl w:val="0"/>
          <w:numId w:val="35"/>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10"/>
        <w:numPr>
          <w:ilvl w:val="0"/>
          <w:numId w:val="35"/>
        </w:numPr>
        <w:autoSpaceDE/>
        <w:autoSpaceDN/>
        <w:snapToGrid w:val="0"/>
        <w:spacing w:line="480" w:lineRule="exact"/>
        <w:jc w:val="left"/>
        <w:textAlignment w:val="auto"/>
        <w:rPr>
          <w:bCs/>
          <w:sz w:val="24"/>
          <w:szCs w:val="24"/>
          <w:highlight w:val="none"/>
        </w:rPr>
      </w:pPr>
      <w:r>
        <w:rPr>
          <w:rFonts w:hint="eastAsia" w:ascii="宋体" w:hAnsi="宋体"/>
          <w:sz w:val="24"/>
          <w:szCs w:val="24"/>
          <w:highlight w:val="none"/>
        </w:rPr>
        <w:t xml:space="preserve">    </w:t>
      </w:r>
    </w:p>
    <w:p>
      <w:pPr>
        <w:pStyle w:val="10"/>
        <w:numPr>
          <w:ilvl w:val="0"/>
          <w:numId w:val="35"/>
        </w:numPr>
        <w:autoSpaceDE/>
        <w:autoSpaceDN/>
        <w:snapToGrid w:val="0"/>
        <w:spacing w:line="480" w:lineRule="exact"/>
        <w:jc w:val="left"/>
        <w:textAlignment w:val="auto"/>
        <w:rPr>
          <w:bCs/>
          <w:sz w:val="24"/>
          <w:szCs w:val="24"/>
          <w:highlight w:val="none"/>
        </w:rPr>
      </w:pPr>
    </w:p>
    <w:p>
      <w:pPr>
        <w:pStyle w:val="10"/>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售后服务联系人：</w:t>
      </w:r>
    </w:p>
    <w:p>
      <w:pPr>
        <w:pStyle w:val="10"/>
        <w:autoSpaceDE/>
        <w:autoSpaceDN/>
        <w:snapToGrid w:val="0"/>
        <w:spacing w:line="480" w:lineRule="exact"/>
        <w:ind w:firstLine="480" w:firstLineChars="200"/>
        <w:jc w:val="left"/>
        <w:textAlignment w:val="auto"/>
        <w:rPr>
          <w:bCs/>
          <w:sz w:val="24"/>
          <w:szCs w:val="24"/>
          <w:highlight w:val="none"/>
        </w:rPr>
      </w:pPr>
    </w:p>
    <w:p>
      <w:pPr>
        <w:pStyle w:val="10"/>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售后服务联系电话：</w:t>
      </w:r>
    </w:p>
    <w:p>
      <w:pPr>
        <w:pStyle w:val="10"/>
        <w:autoSpaceDE/>
        <w:autoSpaceDN/>
        <w:snapToGrid w:val="0"/>
        <w:spacing w:line="480" w:lineRule="exact"/>
        <w:ind w:firstLine="0"/>
        <w:jc w:val="left"/>
        <w:textAlignment w:val="auto"/>
        <w:rPr>
          <w:bCs/>
          <w:highlight w:val="none"/>
        </w:rPr>
      </w:pPr>
    </w:p>
    <w:p>
      <w:pPr>
        <w:pStyle w:val="10"/>
        <w:autoSpaceDE/>
        <w:autoSpaceDN/>
        <w:snapToGrid w:val="0"/>
        <w:spacing w:line="480" w:lineRule="atLeast"/>
        <w:ind w:firstLineChars="200"/>
        <w:jc w:val="left"/>
        <w:textAlignment w:val="auto"/>
        <w:rPr>
          <w:bCs/>
          <w:highlight w:val="none"/>
        </w:rPr>
      </w:pPr>
    </w:p>
    <w:p>
      <w:pPr>
        <w:autoSpaceDE/>
        <w:autoSpaceDN/>
        <w:snapToGrid w:val="0"/>
        <w:spacing w:line="520" w:lineRule="exact"/>
        <w:ind w:firstLine="3840" w:firstLineChars="16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autoSpaceDE/>
        <w:autoSpaceDN/>
        <w:snapToGrid w:val="0"/>
        <w:spacing w:line="520" w:lineRule="exac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spacing w:line="440" w:lineRule="exac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tabs>
          <w:tab w:val="left" w:pos="914"/>
        </w:tabs>
        <w:jc w:val="left"/>
        <w:rPr>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r>
        <w:rPr>
          <w:rFonts w:hint="eastAsia" w:ascii="宋体" w:hAnsi="宋体"/>
          <w:sz w:val="24"/>
          <w:highlight w:val="none"/>
        </w:rPr>
        <w:t>备注：由报价方填写。</w:t>
      </w:r>
    </w:p>
    <w:p>
      <w:pPr>
        <w:pStyle w:val="21"/>
        <w:rPr>
          <w:rFonts w:hAnsi="宋体"/>
          <w:highlight w:val="none"/>
        </w:rPr>
      </w:pPr>
    </w:p>
    <w:p>
      <w:pPr>
        <w:pStyle w:val="21"/>
        <w:rPr>
          <w:rFonts w:hAnsi="宋体"/>
          <w:highlight w:val="none"/>
        </w:rPr>
      </w:pPr>
    </w:p>
    <w:p>
      <w:pPr>
        <w:pStyle w:val="21"/>
        <w:rPr>
          <w:rFonts w:hAnsi="宋体"/>
          <w:highlight w:val="none"/>
        </w:rPr>
      </w:pPr>
    </w:p>
    <w:p>
      <w:pPr>
        <w:pStyle w:val="21"/>
        <w:rPr>
          <w:rFonts w:hAnsi="宋体"/>
          <w:highlight w:val="none"/>
        </w:rPr>
      </w:pPr>
    </w:p>
    <w:p>
      <w:pPr>
        <w:pStyle w:val="21"/>
        <w:rPr>
          <w:rFonts w:hAnsi="宋体"/>
          <w:highlight w:val="none"/>
        </w:rPr>
        <w:sectPr>
          <w:footerReference r:id="rId11" w:type="default"/>
          <w:pgSz w:w="11906" w:h="16838"/>
          <w:pgMar w:top="1417" w:right="1417" w:bottom="1417" w:left="1417" w:header="1247" w:footer="1134" w:gutter="0"/>
          <w:cols w:space="720" w:num="1"/>
          <w:docGrid w:linePitch="326" w:charSpace="0"/>
        </w:sectPr>
      </w:pPr>
    </w:p>
    <w:bookmarkEnd w:id="138"/>
    <w:bookmarkEnd w:id="139"/>
    <w:bookmarkEnd w:id="140"/>
    <w:bookmarkEnd w:id="141"/>
    <w:bookmarkEnd w:id="142"/>
    <w:p>
      <w:pPr>
        <w:kinsoku w:val="0"/>
        <w:overflowPunct w:val="0"/>
        <w:snapToGrid w:val="0"/>
        <w:spacing w:line="440" w:lineRule="atLeast"/>
        <w:jc w:val="center"/>
        <w:rPr>
          <w:rFonts w:ascii="宋体" w:hAnsi="宋体"/>
          <w:b/>
          <w:bCs/>
          <w:sz w:val="28"/>
          <w:szCs w:val="28"/>
          <w:highlight w:val="none"/>
        </w:rPr>
      </w:pPr>
      <w:r>
        <w:rPr>
          <w:rFonts w:hint="eastAsia" w:ascii="宋体" w:hAnsi="宋体"/>
          <w:b/>
          <w:bCs/>
          <w:sz w:val="28"/>
          <w:szCs w:val="28"/>
          <w:highlight w:val="none"/>
        </w:rPr>
        <w:t>第六部分 技术规范书</w:t>
      </w:r>
    </w:p>
    <w:p>
      <w:pPr>
        <w:numPr>
          <w:ilvl w:val="0"/>
          <w:numId w:val="36"/>
        </w:numPr>
        <w:snapToGrid w:val="0"/>
        <w:spacing w:line="400" w:lineRule="atLeast"/>
        <w:jc w:val="left"/>
        <w:textAlignment w:val="auto"/>
        <w:rPr>
          <w:rFonts w:ascii="宋体" w:hAnsi="宋体"/>
          <w:b/>
          <w:bCs/>
          <w:sz w:val="24"/>
          <w:szCs w:val="24"/>
          <w:highlight w:val="none"/>
        </w:rPr>
      </w:pPr>
      <w:bookmarkStart w:id="148" w:name="_Toc16233_WPSOffice_Level2"/>
      <w:bookmarkStart w:id="149" w:name="_Toc11951_WPSOffice_Level2"/>
      <w:bookmarkStart w:id="150" w:name="_Toc27425_WPSOffice_Level2"/>
      <w:bookmarkStart w:id="151" w:name="_Toc4671_WPSOffice_Level2"/>
      <w:bookmarkStart w:id="152" w:name="_Toc29733_WPSOffice_Level2"/>
      <w:r>
        <w:rPr>
          <w:rFonts w:hint="eastAsia" w:ascii="宋体" w:hAnsi="宋体"/>
          <w:b/>
          <w:bCs/>
          <w:sz w:val="24"/>
          <w:szCs w:val="24"/>
          <w:highlight w:val="none"/>
        </w:rPr>
        <w:t>总则</w:t>
      </w:r>
      <w:bookmarkEnd w:id="148"/>
      <w:bookmarkEnd w:id="149"/>
      <w:bookmarkEnd w:id="150"/>
      <w:bookmarkEnd w:id="151"/>
      <w:bookmarkEnd w:id="152"/>
      <w:r>
        <w:rPr>
          <w:rFonts w:hint="eastAsia" w:ascii="宋体" w:hAnsi="宋体"/>
          <w:b/>
          <w:bCs/>
          <w:sz w:val="24"/>
          <w:szCs w:val="24"/>
          <w:highlight w:val="none"/>
        </w:rPr>
        <w:t xml:space="preserve"> </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本规范适用于厦门海发环保能源股份有限公司新阳热电事业部锅炉汽水系统管道及主蒸汽阀门更换项目的施工。它提出了本施工项目的功能设计、结构、性能、安装和检验等方面的技术要求。</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本规范提出的要求是最低限度的要求，并未对一切技术细节作出规定，也未充分引述有关标准和规范的条文，但报价方应采用国内先进、可靠、成熟、经济的技术，保证提供符合本规范和工业标准的功能齐全的优质产品及其相应服务。对国家有关安全、环保等强制性标准，必须满足要求。</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在签订技术协议之后，采购方有权提出因规范标准、规程或设计变更发生变化而产生的一些补充要求，具体款项由双方共同商定。</w:t>
      </w:r>
      <w:r>
        <w:rPr>
          <w:rFonts w:hint="eastAsia" w:ascii="宋体" w:hAnsi="宋体" w:cs="宋体"/>
          <w:sz w:val="24"/>
          <w:szCs w:val="24"/>
          <w:highlight w:val="none"/>
        </w:rPr>
        <w:t>若因报价方原因造成的工程量增加，采购方不承担其费用。</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本规范所用标准如与报价方所采用标准发生矛盾时，按较高的标准执行。</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报价方须提交一套详细、完整的分项报价清单。本项目不允许分包。</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kern w:val="2"/>
          <w:sz w:val="24"/>
          <w:szCs w:val="24"/>
          <w:highlight w:val="none"/>
        </w:rPr>
        <w:t>本规范为项目合同的附件，与合同正文具有同等法律效力。</w:t>
      </w:r>
    </w:p>
    <w:p>
      <w:pPr>
        <w:numPr>
          <w:ilvl w:val="0"/>
          <w:numId w:val="37"/>
        </w:numPr>
        <w:snapToGrid w:val="0"/>
        <w:spacing w:line="400" w:lineRule="atLeast"/>
        <w:ind w:firstLine="0"/>
        <w:textAlignment w:val="auto"/>
        <w:rPr>
          <w:rFonts w:ascii="宋体" w:hAnsi="宋体" w:cs="宋体"/>
          <w:kern w:val="2"/>
          <w:sz w:val="24"/>
          <w:szCs w:val="24"/>
          <w:highlight w:val="none"/>
        </w:rPr>
      </w:pPr>
      <w:r>
        <w:rPr>
          <w:rFonts w:hint="eastAsia" w:ascii="宋体" w:hAnsi="宋体" w:cs="宋体"/>
          <w:sz w:val="24"/>
          <w:szCs w:val="24"/>
          <w:highlight w:val="none"/>
        </w:rPr>
        <w:t>收到中标通知的报价方自动转为成交供应商并与采购方签订合同和技术协议，提供技术资料。为叙述方便，本技术规范书中将“报价方”、“成交供应商”统称为“报价方”。</w:t>
      </w:r>
    </w:p>
    <w:p>
      <w:pPr>
        <w:numPr>
          <w:ilvl w:val="0"/>
          <w:numId w:val="36"/>
        </w:numPr>
        <w:snapToGrid w:val="0"/>
        <w:spacing w:line="400" w:lineRule="atLeast"/>
        <w:jc w:val="left"/>
        <w:textAlignment w:val="auto"/>
        <w:rPr>
          <w:rFonts w:ascii="宋体" w:hAnsi="宋体"/>
          <w:b/>
          <w:bCs/>
          <w:sz w:val="24"/>
          <w:szCs w:val="24"/>
          <w:highlight w:val="none"/>
        </w:rPr>
      </w:pPr>
      <w:bookmarkStart w:id="153" w:name="_Toc14669_WPSOffice_Level2"/>
      <w:bookmarkStart w:id="154" w:name="_Toc21325_WPSOffice_Level2"/>
      <w:bookmarkStart w:id="155" w:name="_Toc7424_WPSOffice_Level2"/>
      <w:bookmarkStart w:id="156" w:name="_Toc19486_WPSOffice_Level2"/>
      <w:bookmarkStart w:id="157" w:name="_Toc14396_WPSOffice_Level2"/>
      <w:bookmarkStart w:id="158" w:name="_Toc23344_WPSOffice_Level1"/>
      <w:r>
        <w:rPr>
          <w:rFonts w:hint="eastAsia" w:ascii="宋体" w:hAnsi="宋体"/>
          <w:b/>
          <w:bCs/>
          <w:sz w:val="24"/>
          <w:szCs w:val="24"/>
          <w:highlight w:val="none"/>
        </w:rPr>
        <w:t>工程范围</w:t>
      </w:r>
      <w:bookmarkEnd w:id="153"/>
      <w:bookmarkEnd w:id="154"/>
      <w:bookmarkEnd w:id="155"/>
      <w:bookmarkEnd w:id="156"/>
      <w:bookmarkEnd w:id="157"/>
      <w:bookmarkEnd w:id="158"/>
    </w:p>
    <w:p>
      <w:pPr>
        <w:pStyle w:val="81"/>
        <w:numPr>
          <w:ilvl w:val="0"/>
          <w:numId w:val="0"/>
        </w:numPr>
        <w:tabs>
          <w:tab w:val="left" w:pos="0"/>
        </w:tabs>
        <w:autoSpaceDE/>
        <w:autoSpaceDN/>
        <w:adjustRightInd/>
        <w:spacing w:line="400" w:lineRule="atLeast"/>
        <w:ind w:leftChars="0"/>
        <w:textAlignment w:val="auto"/>
        <w:rPr>
          <w:rFonts w:ascii="宋体" w:hAnsi="Calibri" w:cs="宋体"/>
          <w:color w:val="000000"/>
          <w:sz w:val="24"/>
          <w:szCs w:val="24"/>
          <w:highlight w:val="none"/>
        </w:rPr>
      </w:pPr>
      <w:r>
        <w:rPr>
          <w:rFonts w:hint="eastAsia" w:ascii="宋体" w:hAnsi="宋体" w:cs="宋体"/>
          <w:sz w:val="24"/>
          <w:szCs w:val="24"/>
          <w:highlight w:val="none"/>
          <w:lang w:val="en-US" w:eastAsia="zh-CN"/>
        </w:rPr>
        <w:t>2.1</w:t>
      </w:r>
      <w:r>
        <w:rPr>
          <w:rFonts w:hint="eastAsia" w:ascii="宋体" w:hAnsi="宋体" w:cs="宋体"/>
          <w:sz w:val="24"/>
          <w:szCs w:val="24"/>
          <w:highlight w:val="none"/>
        </w:rPr>
        <w:t>按谈判文件及图纸要求，</w:t>
      </w:r>
      <w:r>
        <w:rPr>
          <w:rFonts w:hint="eastAsia" w:ascii="宋体" w:hAnsi="宋体"/>
          <w:sz w:val="24"/>
          <w:szCs w:val="24"/>
          <w:highlight w:val="none"/>
        </w:rPr>
        <w:t>报价方负责以下施工内容：</w:t>
      </w:r>
    </w:p>
    <w:p>
      <w:pPr>
        <w:pStyle w:val="81"/>
        <w:numPr>
          <w:ilvl w:val="0"/>
          <w:numId w:val="38"/>
        </w:numPr>
        <w:autoSpaceDE/>
        <w:autoSpaceDN/>
        <w:adjustRightInd/>
        <w:spacing w:line="400" w:lineRule="atLeast"/>
        <w:ind w:firstLine="0" w:firstLineChars="0"/>
        <w:textAlignment w:val="auto"/>
        <w:rPr>
          <w:rFonts w:hint="eastAsia" w:ascii="宋体" w:hAnsi="宋体" w:cs="宋体"/>
          <w:sz w:val="24"/>
          <w:szCs w:val="24"/>
          <w:highlight w:val="none"/>
        </w:rPr>
      </w:pPr>
      <w:r>
        <w:rPr>
          <w:rFonts w:hint="eastAsia" w:ascii="宋体" w:hAnsi="宋体" w:cs="宋体"/>
          <w:sz w:val="24"/>
          <w:szCs w:val="24"/>
          <w:highlight w:val="none"/>
        </w:rPr>
        <w:t>三台锅炉汽水系统管道（给水管道、减温水管道、再循环水管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主给水管疏水阀及其管道</w:t>
      </w:r>
      <w:r>
        <w:rPr>
          <w:rFonts w:hint="eastAsia" w:ascii="宋体" w:hAnsi="宋体" w:cs="宋体"/>
          <w:sz w:val="24"/>
          <w:szCs w:val="24"/>
          <w:highlight w:val="none"/>
        </w:rPr>
        <w:t>）更换，其中包含流量计、温度、压力测点</w:t>
      </w:r>
      <w:r>
        <w:rPr>
          <w:rFonts w:hint="eastAsia" w:ascii="宋体" w:hAnsi="宋体" w:cs="宋体"/>
          <w:sz w:val="24"/>
          <w:szCs w:val="24"/>
          <w:highlight w:val="none"/>
          <w:lang w:eastAsia="zh-CN"/>
        </w:rPr>
        <w:t>拆除安装恢复。</w:t>
      </w:r>
    </w:p>
    <w:p>
      <w:pPr>
        <w:pStyle w:val="81"/>
        <w:numPr>
          <w:ilvl w:val="0"/>
          <w:numId w:val="38"/>
        </w:numPr>
        <w:autoSpaceDE/>
        <w:autoSpaceDN/>
        <w:adjustRightInd/>
        <w:spacing w:line="400" w:lineRule="atLeast"/>
        <w:ind w:firstLine="0" w:firstLineChars="0"/>
        <w:textAlignment w:val="auto"/>
        <w:rPr>
          <w:rFonts w:hint="eastAsia" w:ascii="宋体" w:hAnsi="宋体" w:cs="宋体"/>
          <w:color w:val="auto"/>
          <w:sz w:val="24"/>
          <w:szCs w:val="24"/>
          <w:highlight w:val="none"/>
        </w:rPr>
      </w:pPr>
      <w:r>
        <w:rPr>
          <w:rFonts w:hint="eastAsia" w:ascii="宋体" w:hAnsi="宋体" w:cs="宋体"/>
          <w:sz w:val="24"/>
          <w:szCs w:val="24"/>
          <w:highlight w:val="none"/>
        </w:rPr>
        <w:t>三台锅炉锅炉出口隔离阀</w:t>
      </w:r>
      <w:r>
        <w:rPr>
          <w:rFonts w:hint="eastAsia" w:ascii="宋体" w:hAnsi="宋体" w:cs="宋体"/>
          <w:sz w:val="24"/>
          <w:szCs w:val="24"/>
          <w:highlight w:val="none"/>
          <w:lang w:eastAsia="zh-CN"/>
        </w:rPr>
        <w:t>，</w:t>
      </w:r>
      <w:r>
        <w:rPr>
          <w:rFonts w:hint="eastAsia" w:ascii="宋体" w:hAnsi="宋体" w:cs="宋体"/>
          <w:sz w:val="24"/>
          <w:szCs w:val="24"/>
          <w:highlight w:val="none"/>
        </w:rPr>
        <w:t>I、II段主蒸汽母管联络阀更换等，其中包含旁路阀、疏水阀</w:t>
      </w:r>
      <w:r>
        <w:rPr>
          <w:rFonts w:hint="eastAsia" w:ascii="宋体" w:hAnsi="宋体" w:cs="宋体"/>
          <w:sz w:val="24"/>
          <w:szCs w:val="24"/>
          <w:highlight w:val="none"/>
          <w:lang w:val="en-US" w:eastAsia="zh-CN"/>
        </w:rPr>
        <w:t>及其管道</w:t>
      </w:r>
      <w:r>
        <w:rPr>
          <w:rFonts w:hint="eastAsia" w:ascii="宋体" w:hAnsi="宋体" w:cs="宋体"/>
          <w:sz w:val="24"/>
          <w:szCs w:val="24"/>
          <w:highlight w:val="none"/>
        </w:rPr>
        <w:t>更换（需在2023年春节期间停运检修期间更换）。</w:t>
      </w:r>
    </w:p>
    <w:p>
      <w:pPr>
        <w:tabs>
          <w:tab w:val="left" w:pos="0"/>
        </w:tabs>
        <w:kinsoku w:val="0"/>
        <w:overflowPunct w:val="0"/>
        <w:adjustRightInd/>
        <w:spacing w:line="400" w:lineRule="atLeast"/>
        <w:ind w:left="2" w:firstLine="480" w:firstLineChars="200"/>
        <w:textAlignment w:val="auto"/>
        <w:rPr>
          <w:rFonts w:ascii="宋体" w:hAnsi="宋体"/>
          <w:sz w:val="24"/>
          <w:szCs w:val="24"/>
          <w:highlight w:val="none"/>
        </w:rPr>
      </w:pPr>
      <w:r>
        <w:rPr>
          <w:rFonts w:hint="eastAsia" w:ascii="宋体" w:hAnsi="宋体" w:cs="宋体"/>
          <w:sz w:val="24"/>
          <w:szCs w:val="24"/>
          <w:highlight w:val="none"/>
        </w:rPr>
        <w:t>本项目更换件管道、阀门、大小头由采购方提供。工程施工范围内所涉及的脚手架搭拆、保温（材料、拆除及恢复）及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。施工之前报价方需向厦门特检院按相关规定办理压力管道安装、维修告知等手续，改造范围内的环焊缝必须进行100%射线检验（无法进行射线检测的改为超声波检测），角焊缝进行100%磁粉检测。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无损检测费用由报价方负责</w:t>
      </w:r>
      <w:r>
        <w:rPr>
          <w:rFonts w:hint="eastAsia" w:ascii="宋体" w:hAnsi="宋体"/>
          <w:sz w:val="24"/>
          <w:szCs w:val="24"/>
          <w:highlight w:val="none"/>
          <w:lang w:eastAsia="zh-CN"/>
        </w:rPr>
        <w:t>）。</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负责将施工范围内拆除下来的管道、阀门等施工废料统一运至采购方厂区指定位置堆放。施工结束后清理现场，清运施工垃圾，做到工完料净场地清</w:t>
      </w:r>
      <w:r>
        <w:rPr>
          <w:rFonts w:hint="eastAsia" w:ascii="宋体" w:hAnsi="宋体" w:cs="宋体"/>
          <w:b/>
          <w:bCs/>
          <w:sz w:val="24"/>
          <w:szCs w:val="24"/>
          <w:highlight w:val="none"/>
        </w:rPr>
        <w:t>。</w:t>
      </w:r>
    </w:p>
    <w:p>
      <w:pPr>
        <w:tabs>
          <w:tab w:val="left" w:pos="0"/>
        </w:tabs>
        <w:kinsoku w:val="0"/>
        <w:overflowPunct w:val="0"/>
        <w:adjustRightInd/>
        <w:spacing w:line="400" w:lineRule="atLeast"/>
        <w:ind w:left="2" w:firstLine="480" w:firstLineChars="200"/>
        <w:textAlignment w:val="auto"/>
        <w:rPr>
          <w:rFonts w:hint="eastAsia" w:ascii="宋体" w:hAnsi="宋体"/>
          <w:sz w:val="24"/>
          <w:szCs w:val="24"/>
          <w:highlight w:val="none"/>
        </w:rPr>
      </w:pPr>
      <w:r>
        <w:rPr>
          <w:rFonts w:hint="eastAsia" w:ascii="宋体" w:hAnsi="宋体" w:cs="宋体"/>
          <w:sz w:val="24"/>
          <w:szCs w:val="24"/>
          <w:highlight w:val="none"/>
        </w:rPr>
        <w:t>采购方不统一组织踏勘项目现场，报价方认为有必要的可自行踏勘现场，以便查明或核实有关编制报价文件和签订合同所必需的一切资料，因报价方未踏勘现场而造成的后果由报价方负责。</w:t>
      </w:r>
    </w:p>
    <w:p>
      <w:pPr>
        <w:rPr>
          <w:rFonts w:hint="eastAsia" w:ascii="宋体" w:hAnsi="宋体"/>
          <w:sz w:val="24"/>
          <w:szCs w:val="24"/>
          <w:highlight w:val="none"/>
        </w:rPr>
      </w:pPr>
      <w:r>
        <w:rPr>
          <w:rFonts w:hint="eastAsia" w:ascii="宋体" w:hAnsi="宋体"/>
          <w:sz w:val="24"/>
          <w:szCs w:val="24"/>
          <w:highlight w:val="none"/>
        </w:rPr>
        <w:br w:type="page"/>
      </w:r>
    </w:p>
    <w:p>
      <w:pPr>
        <w:pStyle w:val="2"/>
        <w:rPr>
          <w:rFonts w:hint="eastAsia"/>
          <w:highlight w:val="none"/>
        </w:rPr>
        <w:sectPr>
          <w:footerReference r:id="rId12" w:type="default"/>
          <w:pgSz w:w="11906" w:h="16838"/>
          <w:pgMar w:top="1418" w:right="1418" w:bottom="1134" w:left="1418" w:header="1247" w:footer="1134" w:gutter="0"/>
          <w:cols w:space="720" w:num="1"/>
          <w:docGrid w:linePitch="326" w:charSpace="0"/>
        </w:sectPr>
      </w:pPr>
    </w:p>
    <w:p>
      <w:pPr>
        <w:tabs>
          <w:tab w:val="left" w:pos="0"/>
        </w:tabs>
        <w:snapToGrid w:val="0"/>
        <w:spacing w:line="400" w:lineRule="atLeast"/>
        <w:jc w:val="center"/>
        <w:textAlignment w:val="auto"/>
        <w:rPr>
          <w:rFonts w:hint="eastAsia"/>
          <w:highlight w:val="none"/>
        </w:rPr>
      </w:pPr>
      <w:r>
        <w:rPr>
          <w:rFonts w:hint="eastAsia" w:ascii="宋体" w:hAnsi="宋体"/>
          <w:sz w:val="24"/>
          <w:szCs w:val="24"/>
          <w:highlight w:val="none"/>
        </w:rPr>
        <w:t>工程范围清单</w:t>
      </w:r>
    </w:p>
    <w:tbl>
      <w:tblPr>
        <w:tblStyle w:val="31"/>
        <w:tblW w:w="12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254"/>
        <w:gridCol w:w="1296"/>
        <w:gridCol w:w="834"/>
        <w:gridCol w:w="812"/>
        <w:gridCol w:w="2283"/>
        <w:gridCol w:w="1867"/>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748"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管径（mm）</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焊口</w:t>
            </w:r>
          </w:p>
        </w:tc>
        <w:tc>
          <w:tcPr>
            <w:tcW w:w="2283"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长度</w:t>
            </w:r>
          </w:p>
        </w:tc>
        <w:tc>
          <w:tcPr>
            <w:tcW w:w="1867"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保温要求</w:t>
            </w:r>
          </w:p>
        </w:tc>
        <w:tc>
          <w:tcPr>
            <w:tcW w:w="1867"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8"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25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减温水管道更换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Φ57×3.5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16道</w:t>
            </w:r>
          </w:p>
        </w:tc>
        <w:tc>
          <w:tcPr>
            <w:tcW w:w="2283"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管长约30米</w:t>
            </w:r>
          </w:p>
        </w:tc>
        <w:tc>
          <w:tcPr>
            <w:tcW w:w="1867" w:type="dxa"/>
            <w:vAlign w:val="center"/>
          </w:tcPr>
          <w:p>
            <w:pPr>
              <w:snapToGrid w:val="0"/>
              <w:spacing w:line="360" w:lineRule="auto"/>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保温1层 50mm</w:t>
            </w:r>
          </w:p>
        </w:tc>
        <w:tc>
          <w:tcPr>
            <w:tcW w:w="1867" w:type="dxa"/>
            <w:vMerge w:val="restart"/>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1#炉</w:t>
            </w:r>
            <w:r>
              <w:rPr>
                <w:rFonts w:hint="eastAsia" w:ascii="宋体" w:hAnsi="宋体" w:cs="宋体"/>
                <w:color w:val="auto"/>
                <w:sz w:val="24"/>
                <w:szCs w:val="24"/>
                <w:highlight w:val="none"/>
                <w:lang w:val="en-US" w:eastAsia="zh-CN"/>
              </w:rPr>
              <w:t>汽水系统管道更换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给水管道更换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Φ108×6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23道</w:t>
            </w:r>
          </w:p>
        </w:tc>
        <w:tc>
          <w:tcPr>
            <w:tcW w:w="2283"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管长约45米</w:t>
            </w:r>
          </w:p>
        </w:tc>
        <w:tc>
          <w:tcPr>
            <w:tcW w:w="1867" w:type="dxa"/>
            <w:vAlign w:val="center"/>
          </w:tcPr>
          <w:p>
            <w:pPr>
              <w:snapToGrid w:val="0"/>
              <w:spacing w:line="360" w:lineRule="auto"/>
              <w:jc w:val="both"/>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保温2层 100mm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再循环水管更换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Φ57×5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18道</w:t>
            </w:r>
          </w:p>
        </w:tc>
        <w:tc>
          <w:tcPr>
            <w:tcW w:w="2283"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管长约25米</w:t>
            </w:r>
          </w:p>
        </w:tc>
        <w:tc>
          <w:tcPr>
            <w:tcW w:w="1867" w:type="dxa"/>
            <w:vAlign w:val="center"/>
          </w:tcPr>
          <w:p>
            <w:pPr>
              <w:snapToGrid w:val="0"/>
              <w:spacing w:line="360" w:lineRule="auto"/>
              <w:jc w:val="both"/>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流量计、温度、压力测点安装</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3254" w:type="dxa"/>
            <w:vAlign w:val="center"/>
          </w:tcPr>
          <w:p>
            <w:pPr>
              <w:snapToGrid w:val="0"/>
              <w:spacing w:line="360" w:lineRule="auto"/>
              <w:jc w:val="center"/>
              <w:textAlignment w:val="center"/>
              <w:rPr>
                <w:rFonts w:hint="eastAsia" w:ascii="宋体" w:hAnsi="宋体" w:cs="宋体"/>
                <w:color w:val="auto"/>
                <w:sz w:val="24"/>
                <w:szCs w:val="24"/>
                <w:highlight w:val="none"/>
              </w:rPr>
            </w:pPr>
            <w:r>
              <w:rPr>
                <w:rFonts w:hint="eastAsia" w:ascii="宋体" w:hAnsi="Calibri" w:cs="宋体"/>
                <w:color w:val="000000"/>
                <w:sz w:val="24"/>
                <w:szCs w:val="24"/>
                <w:highlight w:val="none"/>
                <w:lang w:val="en-US" w:eastAsia="zh-CN"/>
              </w:rPr>
              <w:t>主给水管疏水阀及其管道</w:t>
            </w:r>
          </w:p>
        </w:tc>
        <w:tc>
          <w:tcPr>
            <w:tcW w:w="1296"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DN20</w:t>
            </w:r>
          </w:p>
        </w:tc>
        <w:tc>
          <w:tcPr>
            <w:tcW w:w="834" w:type="dxa"/>
            <w:vAlign w:val="center"/>
          </w:tcPr>
          <w:p>
            <w:pPr>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管长</w:t>
            </w:r>
            <w:r>
              <w:rPr>
                <w:rFonts w:hint="eastAsia" w:ascii="宋体" w:hAnsi="宋体" w:cs="宋体"/>
                <w:color w:val="auto"/>
                <w:sz w:val="24"/>
                <w:szCs w:val="24"/>
                <w:highlight w:val="none"/>
                <w:lang w:val="en-US" w:eastAsia="zh-CN"/>
              </w:rPr>
              <w:t>约20米</w:t>
            </w: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6</w:t>
            </w:r>
          </w:p>
        </w:tc>
        <w:tc>
          <w:tcPr>
            <w:tcW w:w="325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支吊架拆除及恢复</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p>
        </w:tc>
        <w:tc>
          <w:tcPr>
            <w:tcW w:w="83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7</w:t>
            </w:r>
          </w:p>
        </w:tc>
        <w:tc>
          <w:tcPr>
            <w:tcW w:w="325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减温水管道更换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Φ57×3.5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16道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管长约30米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保温1层 50mm</w:t>
            </w:r>
          </w:p>
        </w:tc>
        <w:tc>
          <w:tcPr>
            <w:tcW w:w="1867" w:type="dxa"/>
            <w:vMerge w:val="restart"/>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#炉</w:t>
            </w:r>
            <w:r>
              <w:rPr>
                <w:rFonts w:hint="eastAsia" w:ascii="宋体" w:hAnsi="宋体" w:cs="宋体"/>
                <w:color w:val="auto"/>
                <w:sz w:val="24"/>
                <w:szCs w:val="24"/>
                <w:highlight w:val="none"/>
                <w:lang w:val="en-US" w:eastAsia="zh-CN"/>
              </w:rPr>
              <w:t>汽水系统管道更换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8</w:t>
            </w:r>
          </w:p>
        </w:tc>
        <w:tc>
          <w:tcPr>
            <w:tcW w:w="3254"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给水管道更换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Φ108×6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23道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管长约45米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保温2层 100mm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9</w:t>
            </w:r>
          </w:p>
        </w:tc>
        <w:tc>
          <w:tcPr>
            <w:tcW w:w="3254"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再循环水管更换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Φ57×5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18道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管长约25米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10</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流量计、温度、压力测点安装</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11</w:t>
            </w:r>
          </w:p>
        </w:tc>
        <w:tc>
          <w:tcPr>
            <w:tcW w:w="325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Calibri" w:cs="宋体"/>
                <w:color w:val="000000"/>
                <w:sz w:val="24"/>
                <w:szCs w:val="24"/>
                <w:highlight w:val="none"/>
                <w:lang w:val="en-US" w:eastAsia="zh-CN"/>
              </w:rPr>
              <w:t>主给水管疏水阀及其管道</w:t>
            </w:r>
          </w:p>
        </w:tc>
        <w:tc>
          <w:tcPr>
            <w:tcW w:w="1296"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DN20</w:t>
            </w:r>
          </w:p>
        </w:tc>
        <w:tc>
          <w:tcPr>
            <w:tcW w:w="83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cs="宋体"/>
                <w:color w:val="auto"/>
                <w:sz w:val="24"/>
                <w:szCs w:val="24"/>
                <w:highlight w:val="none"/>
              </w:rPr>
              <w:t>个</w:t>
            </w:r>
          </w:p>
        </w:tc>
        <w:tc>
          <w:tcPr>
            <w:tcW w:w="812"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2283"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w:t>
            </w:r>
            <w:r>
              <w:rPr>
                <w:rFonts w:hint="eastAsia" w:ascii="宋体" w:hAnsi="宋体" w:cs="宋体"/>
                <w:color w:val="auto"/>
                <w:sz w:val="24"/>
                <w:szCs w:val="24"/>
                <w:highlight w:val="none"/>
                <w:lang w:val="en-US" w:eastAsia="zh-CN"/>
              </w:rPr>
              <w:t>约20米</w:t>
            </w: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12</w:t>
            </w:r>
          </w:p>
        </w:tc>
        <w:tc>
          <w:tcPr>
            <w:tcW w:w="325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支吊架拆除及恢复</w:t>
            </w:r>
          </w:p>
        </w:tc>
        <w:tc>
          <w:tcPr>
            <w:tcW w:w="1296"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83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812"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2283"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13</w:t>
            </w:r>
          </w:p>
        </w:tc>
        <w:tc>
          <w:tcPr>
            <w:tcW w:w="3254"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减温水管道更换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Φ57×3.5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16道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管长约30米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保温1层 50mm</w:t>
            </w:r>
          </w:p>
        </w:tc>
        <w:tc>
          <w:tcPr>
            <w:tcW w:w="1867" w:type="dxa"/>
            <w:vMerge w:val="restart"/>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#炉</w:t>
            </w:r>
            <w:r>
              <w:rPr>
                <w:rFonts w:hint="eastAsia" w:ascii="宋体" w:hAnsi="宋体" w:cs="宋体"/>
                <w:color w:val="auto"/>
                <w:sz w:val="24"/>
                <w:szCs w:val="24"/>
                <w:highlight w:val="none"/>
                <w:lang w:val="en-US" w:eastAsia="zh-CN"/>
              </w:rPr>
              <w:t>汽水系统管道更换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14</w:t>
            </w:r>
          </w:p>
        </w:tc>
        <w:tc>
          <w:tcPr>
            <w:tcW w:w="3254"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给水管道更换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Φ108×6 </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23道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管长约45米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保温2层 100mm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15</w:t>
            </w:r>
          </w:p>
        </w:tc>
        <w:tc>
          <w:tcPr>
            <w:tcW w:w="3254"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再循环水管更换</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弯头6个</w:t>
            </w:r>
            <w:r>
              <w:rPr>
                <w:rFonts w:hint="eastAsia" w:ascii="宋体" w:hAnsi="宋体" w:cs="宋体"/>
                <w:color w:val="auto"/>
                <w:sz w:val="24"/>
                <w:szCs w:val="24"/>
                <w:highlight w:val="none"/>
                <w:lang w:eastAsia="zh-CN"/>
              </w:rPr>
              <w:t>）</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Φ57×5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1段</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18道</w:t>
            </w: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管长约25米</w:t>
            </w:r>
          </w:p>
        </w:tc>
        <w:tc>
          <w:tcPr>
            <w:tcW w:w="1867" w:type="dxa"/>
            <w:vAlign w:val="center"/>
          </w:tcPr>
          <w:p>
            <w:pPr>
              <w:snapToGrid w:val="0"/>
              <w:spacing w:line="360" w:lineRule="auto"/>
              <w:jc w:val="both"/>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both"/>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16</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流量计、温度、压力测点安装</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17</w:t>
            </w:r>
          </w:p>
        </w:tc>
        <w:tc>
          <w:tcPr>
            <w:tcW w:w="325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Calibri" w:cs="宋体"/>
                <w:color w:val="000000"/>
                <w:sz w:val="24"/>
                <w:szCs w:val="24"/>
                <w:highlight w:val="none"/>
                <w:lang w:val="en-US" w:eastAsia="zh-CN"/>
              </w:rPr>
              <w:t>主给水管疏水阀及其管道</w:t>
            </w:r>
          </w:p>
        </w:tc>
        <w:tc>
          <w:tcPr>
            <w:tcW w:w="1296"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DN20</w:t>
            </w:r>
          </w:p>
        </w:tc>
        <w:tc>
          <w:tcPr>
            <w:tcW w:w="83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5</w:t>
            </w:r>
            <w:r>
              <w:rPr>
                <w:rFonts w:hint="eastAsia" w:ascii="宋体" w:hAnsi="宋体" w:cs="宋体"/>
                <w:color w:val="auto"/>
                <w:sz w:val="24"/>
                <w:szCs w:val="24"/>
                <w:highlight w:val="none"/>
              </w:rPr>
              <w:t>个</w:t>
            </w:r>
          </w:p>
        </w:tc>
        <w:tc>
          <w:tcPr>
            <w:tcW w:w="812"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2283"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管长</w:t>
            </w:r>
            <w:r>
              <w:rPr>
                <w:rFonts w:hint="eastAsia" w:ascii="宋体" w:hAnsi="宋体" w:cs="宋体"/>
                <w:color w:val="auto"/>
                <w:sz w:val="24"/>
                <w:szCs w:val="24"/>
                <w:highlight w:val="none"/>
                <w:lang w:val="en-US" w:eastAsia="zh-CN"/>
              </w:rPr>
              <w:t>约20米</w:t>
            </w: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18</w:t>
            </w:r>
          </w:p>
        </w:tc>
        <w:tc>
          <w:tcPr>
            <w:tcW w:w="325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支吊架拆除及恢复</w:t>
            </w:r>
          </w:p>
        </w:tc>
        <w:tc>
          <w:tcPr>
            <w:tcW w:w="1296"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83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812"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p>
        </w:tc>
        <w:tc>
          <w:tcPr>
            <w:tcW w:w="2283"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19</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1#炉出口隔离阀更换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DN200</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2道</w:t>
            </w:r>
          </w:p>
        </w:tc>
        <w:tc>
          <w:tcPr>
            <w:tcW w:w="2283" w:type="dxa"/>
            <w:vMerge w:val="restart"/>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三台锅炉锅炉出口隔离阀、1#2#主蒸汽母管联络阀更换，需2023年春节期间施工</w:t>
            </w: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保温4层 200mm</w:t>
            </w:r>
          </w:p>
        </w:tc>
        <w:tc>
          <w:tcPr>
            <w:tcW w:w="1867" w:type="dxa"/>
            <w:vMerge w:val="restart"/>
            <w:vAlign w:val="center"/>
          </w:tcPr>
          <w:p>
            <w:pPr>
              <w:snapToGrid w:val="0"/>
              <w:spacing w:line="360" w:lineRule="auto"/>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主蒸汽管道阀门及其管道更换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20</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2#炉出口隔离阀更换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DN200</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2道</w:t>
            </w: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保温4层 200mm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21</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3#炉出口隔离阀更换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DN200</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2道</w:t>
            </w: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保温4层 200mm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22</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1#2#主汽母管联络阀更换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DN250</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1个</w:t>
            </w: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2道</w:t>
            </w: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保温4层 200mm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1#炉出口旁路阀、疏水阀</w:t>
            </w:r>
            <w:r>
              <w:rPr>
                <w:rFonts w:hint="eastAsia" w:ascii="宋体" w:hAnsi="宋体" w:cs="宋体"/>
                <w:color w:val="auto"/>
                <w:sz w:val="24"/>
                <w:szCs w:val="24"/>
                <w:highlight w:val="none"/>
                <w:lang w:val="en-US" w:eastAsia="zh-CN"/>
              </w:rPr>
              <w:t>及其管道</w:t>
            </w:r>
            <w:r>
              <w:rPr>
                <w:rFonts w:hint="eastAsia" w:ascii="宋体" w:hAnsi="宋体" w:cs="宋体"/>
                <w:color w:val="auto"/>
                <w:sz w:val="24"/>
                <w:szCs w:val="24"/>
                <w:highlight w:val="none"/>
              </w:rPr>
              <w:t>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Φ32×2.5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3个</w:t>
            </w:r>
          </w:p>
        </w:tc>
        <w:tc>
          <w:tcPr>
            <w:tcW w:w="812" w:type="dxa"/>
            <w:vMerge w:val="restart"/>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管长约</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米</w:t>
            </w: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24</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2#炉出口旁路阀、疏水阀</w:t>
            </w:r>
            <w:r>
              <w:rPr>
                <w:rFonts w:hint="eastAsia" w:ascii="宋体" w:hAnsi="宋体" w:cs="宋体"/>
                <w:color w:val="auto"/>
                <w:sz w:val="24"/>
                <w:szCs w:val="24"/>
                <w:highlight w:val="none"/>
                <w:lang w:val="en-US" w:eastAsia="zh-CN"/>
              </w:rPr>
              <w:t>及其管道</w:t>
            </w:r>
            <w:r>
              <w:rPr>
                <w:rFonts w:hint="eastAsia" w:ascii="宋体" w:hAnsi="宋体" w:cs="宋体"/>
                <w:color w:val="auto"/>
                <w:sz w:val="24"/>
                <w:szCs w:val="24"/>
                <w:highlight w:val="none"/>
              </w:rPr>
              <w:t>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Φ32×2.5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3个</w:t>
            </w:r>
          </w:p>
        </w:tc>
        <w:tc>
          <w:tcPr>
            <w:tcW w:w="812"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3#炉出口旁路阀、疏水阀</w:t>
            </w:r>
            <w:r>
              <w:rPr>
                <w:rFonts w:hint="eastAsia" w:ascii="宋体" w:hAnsi="宋体" w:cs="宋体"/>
                <w:color w:val="auto"/>
                <w:sz w:val="24"/>
                <w:szCs w:val="24"/>
                <w:highlight w:val="none"/>
                <w:lang w:val="en-US" w:eastAsia="zh-CN"/>
              </w:rPr>
              <w:t>及其管道</w:t>
            </w:r>
            <w:r>
              <w:rPr>
                <w:rFonts w:hint="eastAsia" w:ascii="宋体" w:hAnsi="宋体" w:cs="宋体"/>
                <w:color w:val="auto"/>
                <w:sz w:val="24"/>
                <w:szCs w:val="24"/>
                <w:highlight w:val="none"/>
              </w:rPr>
              <w:t>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Φ32×2.5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3个</w:t>
            </w:r>
          </w:p>
        </w:tc>
        <w:tc>
          <w:tcPr>
            <w:tcW w:w="812"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8"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325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I、II段主汽母管旁路阀、疏水阀</w:t>
            </w:r>
            <w:r>
              <w:rPr>
                <w:rFonts w:hint="eastAsia" w:ascii="宋体" w:hAnsi="宋体" w:cs="宋体"/>
                <w:color w:val="auto"/>
                <w:sz w:val="24"/>
                <w:szCs w:val="24"/>
                <w:highlight w:val="none"/>
                <w:lang w:val="en-US" w:eastAsia="zh-CN"/>
              </w:rPr>
              <w:t>及其管道</w:t>
            </w:r>
            <w:r>
              <w:rPr>
                <w:rFonts w:hint="eastAsia" w:ascii="宋体" w:hAnsi="宋体" w:cs="宋体"/>
                <w:color w:val="auto"/>
                <w:sz w:val="24"/>
                <w:szCs w:val="24"/>
                <w:highlight w:val="none"/>
              </w:rPr>
              <w:t>更换</w:t>
            </w:r>
          </w:p>
        </w:tc>
        <w:tc>
          <w:tcPr>
            <w:tcW w:w="1296"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Φ38×2.5</w:t>
            </w:r>
          </w:p>
        </w:tc>
        <w:tc>
          <w:tcPr>
            <w:tcW w:w="834"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3个</w:t>
            </w:r>
          </w:p>
        </w:tc>
        <w:tc>
          <w:tcPr>
            <w:tcW w:w="812"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Merge w:val="continue"/>
            <w:vAlign w:val="center"/>
          </w:tcPr>
          <w:p>
            <w:pPr>
              <w:snapToGrid w:val="0"/>
              <w:spacing w:line="360" w:lineRule="auto"/>
              <w:jc w:val="center"/>
              <w:textAlignment w:val="center"/>
              <w:rPr>
                <w:rFonts w:ascii="宋体" w:hAnsi="宋体" w:cs="宋体"/>
                <w:color w:val="auto"/>
                <w:sz w:val="24"/>
                <w:szCs w:val="24"/>
                <w:highlight w:val="none"/>
              </w:rPr>
            </w:pPr>
          </w:p>
        </w:tc>
        <w:tc>
          <w:tcPr>
            <w:tcW w:w="1867" w:type="dxa"/>
            <w:vAlign w:val="center"/>
          </w:tcPr>
          <w:p>
            <w:pPr>
              <w:snapToGrid w:val="0"/>
              <w:spacing w:line="360" w:lineRule="auto"/>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保温1层 50mm</w:t>
            </w:r>
          </w:p>
        </w:tc>
        <w:tc>
          <w:tcPr>
            <w:tcW w:w="1867" w:type="dxa"/>
            <w:vMerge w:val="continue"/>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748"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3254" w:type="dxa"/>
            <w:vAlign w:val="center"/>
          </w:tcPr>
          <w:p>
            <w:pPr>
              <w:snapToGrid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脚手架</w:t>
            </w:r>
          </w:p>
        </w:tc>
        <w:tc>
          <w:tcPr>
            <w:tcW w:w="1296"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834" w:type="dxa"/>
            <w:vAlign w:val="center"/>
          </w:tcPr>
          <w:p>
            <w:pPr>
              <w:snapToGrid w:val="0"/>
              <w:spacing w:line="360" w:lineRule="auto"/>
              <w:jc w:val="center"/>
              <w:textAlignment w:val="center"/>
              <w:rPr>
                <w:rFonts w:hint="eastAsia" w:ascii="宋体" w:hAnsi="宋体" w:cs="宋体"/>
                <w:color w:val="auto"/>
                <w:sz w:val="24"/>
                <w:szCs w:val="24"/>
                <w:highlight w:val="none"/>
              </w:rPr>
            </w:pPr>
          </w:p>
        </w:tc>
        <w:tc>
          <w:tcPr>
            <w:tcW w:w="812" w:type="dxa"/>
            <w:vAlign w:val="center"/>
          </w:tcPr>
          <w:p>
            <w:pPr>
              <w:snapToGrid w:val="0"/>
              <w:spacing w:line="360" w:lineRule="auto"/>
              <w:jc w:val="center"/>
              <w:textAlignment w:val="center"/>
              <w:rPr>
                <w:rFonts w:ascii="宋体" w:hAnsi="宋体" w:cs="宋体"/>
                <w:color w:val="auto"/>
                <w:sz w:val="24"/>
                <w:szCs w:val="24"/>
                <w:highlight w:val="none"/>
              </w:rPr>
            </w:pPr>
          </w:p>
        </w:tc>
        <w:tc>
          <w:tcPr>
            <w:tcW w:w="2283" w:type="dxa"/>
            <w:vAlign w:val="center"/>
          </w:tcPr>
          <w:p>
            <w:pPr>
              <w:snapToGrid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预估量1000m</w:t>
            </w:r>
            <w:r>
              <w:rPr>
                <w:rFonts w:hint="eastAsia" w:ascii="宋体" w:hAnsi="宋体" w:cs="宋体"/>
                <w:color w:val="auto"/>
                <w:sz w:val="24"/>
                <w:szCs w:val="24"/>
                <w:highlight w:val="none"/>
                <w:vertAlign w:val="superscript"/>
                <w:lang w:val="en-US" w:eastAsia="zh-CN"/>
              </w:rPr>
              <w:t>2</w:t>
            </w: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c>
          <w:tcPr>
            <w:tcW w:w="1867" w:type="dxa"/>
            <w:vAlign w:val="center"/>
          </w:tcPr>
          <w:p>
            <w:pPr>
              <w:snapToGrid w:val="0"/>
              <w:spacing w:line="360" w:lineRule="auto"/>
              <w:jc w:val="center"/>
              <w:textAlignment w:val="center"/>
              <w:rPr>
                <w:rFonts w:hint="eastAsia" w:ascii="宋体" w:hAnsi="宋体" w:cs="宋体"/>
                <w:color w:val="auto"/>
                <w:sz w:val="24"/>
                <w:szCs w:val="24"/>
                <w:highlight w:val="none"/>
                <w:lang w:val="en-US" w:eastAsia="zh-CN"/>
              </w:rPr>
            </w:pPr>
          </w:p>
        </w:tc>
      </w:tr>
    </w:tbl>
    <w:p>
      <w:pPr>
        <w:ind w:firstLine="720" w:firstLineChars="300"/>
        <w:rPr>
          <w:rFonts w:hint="eastAsia" w:ascii="宋体" w:hAnsi="宋体" w:cs="宋体"/>
          <w:color w:val="FF0000"/>
          <w:sz w:val="24"/>
          <w:highlight w:val="none"/>
        </w:rPr>
      </w:pPr>
      <w:r>
        <w:rPr>
          <w:rFonts w:hint="eastAsia" w:ascii="宋体" w:hAnsi="宋体" w:cs="宋体"/>
          <w:color w:val="FF0000"/>
          <w:sz w:val="24"/>
          <w:highlight w:val="none"/>
        </w:rPr>
        <w:t>备注：以上工程</w:t>
      </w:r>
      <w:r>
        <w:rPr>
          <w:rFonts w:hint="eastAsia" w:ascii="宋体" w:hAnsi="宋体" w:cs="宋体"/>
          <w:color w:val="FF0000"/>
          <w:sz w:val="24"/>
          <w:highlight w:val="none"/>
          <w:lang w:val="en-US" w:eastAsia="zh-CN"/>
        </w:rPr>
        <w:t>量</w:t>
      </w:r>
      <w:r>
        <w:rPr>
          <w:rFonts w:hint="eastAsia" w:ascii="宋体" w:hAnsi="宋体" w:cs="宋体"/>
          <w:color w:val="FF0000"/>
          <w:sz w:val="24"/>
          <w:highlight w:val="none"/>
        </w:rPr>
        <w:t>为估算，供施工参考，实际工程量以图纸和现场实际为准。</w:t>
      </w:r>
    </w:p>
    <w:p>
      <w:pPr>
        <w:pStyle w:val="2"/>
        <w:rPr>
          <w:rFonts w:hint="eastAsia" w:ascii="宋体" w:hAnsi="宋体" w:cs="宋体"/>
          <w:color w:val="FF0000"/>
          <w:sz w:val="24"/>
          <w:highlight w:val="none"/>
        </w:rPr>
      </w:pPr>
    </w:p>
    <w:p>
      <w:pPr>
        <w:rPr>
          <w:rFonts w:hint="eastAsia" w:ascii="宋体" w:hAnsi="宋体" w:cs="宋体"/>
          <w:color w:val="FF0000"/>
          <w:sz w:val="24"/>
          <w:highlight w:val="none"/>
        </w:rPr>
      </w:pPr>
    </w:p>
    <w:p>
      <w:pPr>
        <w:pStyle w:val="2"/>
        <w:rPr>
          <w:rFonts w:hint="eastAsia" w:ascii="宋体" w:hAnsi="宋体" w:cs="宋体"/>
          <w:color w:val="FF0000"/>
          <w:sz w:val="24"/>
          <w:highlight w:val="none"/>
        </w:rPr>
        <w:sectPr>
          <w:pgSz w:w="16838" w:h="11906" w:orient="landscape"/>
          <w:pgMar w:top="1418" w:right="1418" w:bottom="1418" w:left="1134" w:header="1247" w:footer="1134" w:gutter="0"/>
          <w:cols w:space="720" w:num="1"/>
          <w:docGrid w:linePitch="326" w:charSpace="0"/>
        </w:sectPr>
      </w:pPr>
    </w:p>
    <w:p>
      <w:pPr>
        <w:rPr>
          <w:highlight w:val="none"/>
        </w:rPr>
      </w:pPr>
    </w:p>
    <w:p>
      <w:pPr>
        <w:numPr>
          <w:ilvl w:val="0"/>
          <w:numId w:val="36"/>
        </w:numPr>
        <w:snapToGrid w:val="0"/>
        <w:spacing w:line="400" w:lineRule="atLeast"/>
        <w:jc w:val="left"/>
        <w:textAlignment w:val="auto"/>
        <w:rPr>
          <w:rFonts w:ascii="宋体" w:hAnsi="宋体"/>
          <w:b/>
          <w:bCs/>
          <w:sz w:val="24"/>
          <w:szCs w:val="24"/>
          <w:highlight w:val="none"/>
        </w:rPr>
      </w:pPr>
      <w:bookmarkStart w:id="159" w:name="_Toc3583_WPSOffice_Level2"/>
      <w:bookmarkStart w:id="160" w:name="_Toc15955_WPSOffice_Level2"/>
      <w:bookmarkStart w:id="161" w:name="_Toc15074_WPSOffice_Level2"/>
      <w:bookmarkStart w:id="162" w:name="_Toc2836_WPSOffice_Level2"/>
      <w:bookmarkStart w:id="163" w:name="_Toc2533_WPSOffice_Level2"/>
      <w:r>
        <w:rPr>
          <w:rFonts w:hint="eastAsia" w:ascii="宋体" w:hAnsi="宋体"/>
          <w:b/>
          <w:bCs/>
          <w:sz w:val="24"/>
          <w:szCs w:val="24"/>
          <w:highlight w:val="none"/>
        </w:rPr>
        <w:t>技术标准和规范</w:t>
      </w:r>
      <w:bookmarkEnd w:id="159"/>
      <w:bookmarkEnd w:id="160"/>
      <w:bookmarkEnd w:id="161"/>
      <w:bookmarkEnd w:id="162"/>
      <w:bookmarkEnd w:id="163"/>
    </w:p>
    <w:p>
      <w:pPr>
        <w:kinsoku w:val="0"/>
        <w:overflowPunct w:val="0"/>
        <w:autoSpaceDE/>
        <w:autoSpaceDN/>
        <w:snapToGrid w:val="0"/>
        <w:spacing w:line="44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本技术规范中涉及的所有规范、标准或材料规格（包括一切有效的补充或附录）均为最新版本，即以采购方最后发出订单之日作为采用最新版本的截止日期。如报价方使用本规范以外的规范和标准，需征得采购方同意。包括但不限于下列规范和标准。</w:t>
      </w:r>
    </w:p>
    <w:p>
      <w:pPr>
        <w:kinsoku w:val="0"/>
        <w:overflowPunct w:val="0"/>
        <w:autoSpaceDE/>
        <w:autoSpaceDN/>
        <w:snapToGrid w:val="0"/>
        <w:spacing w:line="44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TSG 11-2020 《锅炉安全技术监察规程》</w:t>
      </w:r>
    </w:p>
    <w:p>
      <w:pPr>
        <w:kinsoku w:val="0"/>
        <w:overflowPunct w:val="0"/>
        <w:autoSpaceDE/>
        <w:autoSpaceDN/>
        <w:snapToGrid w:val="0"/>
        <w:spacing w:line="44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GB/T32270-2015 《压力管道规范 动力管道》</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50316-2008  《工业金属管道设计规范》     </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GB/T5310-2017  《高压锅炉用无缝钢管》</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50764-2012  《电厂动力管道设计规范》 </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50236-2011  《压力管道规范动力管道》          </w:t>
      </w:r>
    </w:p>
    <w:p>
      <w:pPr>
        <w:tabs>
          <w:tab w:val="left" w:pos="0"/>
        </w:tabs>
        <w:kinsoku w:val="0"/>
        <w:overflowPunct w:val="0"/>
        <w:adjustRightInd/>
        <w:spacing w:line="400" w:lineRule="atLeast"/>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50236-2011  《现场设备、工业管道焊接工程施工规范》   </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50264-2013  《工业设备及管道绝热工程设计规范》   </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 50185-2010  《工业设备及管道绝热工程施工质量验收规范》   </w:t>
      </w:r>
    </w:p>
    <w:p>
      <w:pPr>
        <w:tabs>
          <w:tab w:val="left" w:pos="0"/>
        </w:tabs>
        <w:kinsoku w:val="0"/>
        <w:overflowPunct w:val="0"/>
        <w:adjustRightInd/>
        <w:spacing w:line="400" w:lineRule="atLeast"/>
        <w:ind w:left="2" w:firstLine="480" w:firstLineChars="200"/>
        <w:textAlignment w:val="auto"/>
        <w:rPr>
          <w:rFonts w:ascii="宋体" w:hAnsi="宋体" w:cs="宋体"/>
          <w:sz w:val="24"/>
          <w:szCs w:val="24"/>
          <w:highlight w:val="none"/>
        </w:rPr>
      </w:pPr>
      <w:r>
        <w:rPr>
          <w:rFonts w:hint="eastAsia" w:ascii="宋体" w:hAnsi="宋体" w:cs="宋体"/>
          <w:sz w:val="24"/>
          <w:szCs w:val="24"/>
          <w:highlight w:val="none"/>
        </w:rPr>
        <w:t xml:space="preserve">GB/T13401-2017 《钢制对焊管件技术规范》                                        </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NB/T47013-2015 《承压设备无损检测》 </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GB 50236-2011《现场设备、工业管道焊接工程施工规范》             </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GB/T 12459-2017《钢制对焊管件 类型与参数》 </w:t>
      </w:r>
    </w:p>
    <w:p>
      <w:pPr>
        <w:tabs>
          <w:tab w:val="left" w:pos="0"/>
        </w:tabs>
        <w:kinsoku w:val="0"/>
        <w:overflowPunct w:val="0"/>
        <w:adjustRightInd/>
        <w:spacing w:line="400" w:lineRule="atLeast"/>
        <w:ind w:left="2" w:firstLine="480" w:firstLineChars="200"/>
        <w:textAlignment w:val="auto"/>
        <w:rPr>
          <w:rFonts w:hint="eastAsia" w:ascii="宋体" w:hAnsi="宋体"/>
          <w:sz w:val="24"/>
          <w:szCs w:val="24"/>
          <w:highlight w:val="none"/>
        </w:rPr>
      </w:pPr>
      <w:r>
        <w:rPr>
          <w:rFonts w:hint="eastAsia" w:ascii="宋体" w:hAnsi="宋体"/>
          <w:sz w:val="24"/>
          <w:szCs w:val="24"/>
          <w:highlight w:val="none"/>
        </w:rPr>
        <w:t>D</w:t>
      </w:r>
      <w:r>
        <w:rPr>
          <w:rFonts w:ascii="宋体" w:hAnsi="宋体"/>
          <w:sz w:val="24"/>
          <w:szCs w:val="24"/>
          <w:highlight w:val="none"/>
        </w:rPr>
        <w:t>L/T</w:t>
      </w:r>
      <w:r>
        <w:rPr>
          <w:rFonts w:hint="eastAsia" w:ascii="宋体" w:hAnsi="宋体"/>
          <w:sz w:val="24"/>
          <w:szCs w:val="24"/>
          <w:highlight w:val="none"/>
          <w:lang w:val="en-US" w:eastAsia="zh-CN"/>
        </w:rPr>
        <w:t xml:space="preserve"> </w:t>
      </w:r>
      <w:r>
        <w:rPr>
          <w:rFonts w:ascii="宋体" w:hAnsi="宋体"/>
          <w:sz w:val="24"/>
          <w:szCs w:val="24"/>
          <w:highlight w:val="none"/>
        </w:rPr>
        <w:t>869</w:t>
      </w:r>
      <w:r>
        <w:rPr>
          <w:rFonts w:hint="eastAsia" w:ascii="宋体" w:hAnsi="宋体"/>
          <w:sz w:val="24"/>
          <w:szCs w:val="24"/>
          <w:highlight w:val="none"/>
        </w:rPr>
        <w:t>《火力发电厂焊接技术规程》</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DL/T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869《火力发电厂焊接</w:t>
      </w:r>
      <w:r>
        <w:rPr>
          <w:rFonts w:hint="eastAsia" w:ascii="宋体" w:hAnsi="宋体" w:cs="宋体"/>
          <w:sz w:val="24"/>
          <w:szCs w:val="24"/>
          <w:highlight w:val="none"/>
          <w:lang w:val="en-US" w:eastAsia="zh-CN"/>
        </w:rPr>
        <w:t>热处理</w:t>
      </w:r>
      <w:r>
        <w:rPr>
          <w:rFonts w:hint="eastAsia" w:ascii="宋体" w:hAnsi="宋体" w:cs="宋体"/>
          <w:sz w:val="24"/>
          <w:szCs w:val="24"/>
          <w:highlight w:val="none"/>
        </w:rPr>
        <w:t>技术规程》</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DL/T</w:t>
      </w:r>
      <w:r>
        <w:rPr>
          <w:rFonts w:hint="eastAsia" w:ascii="宋体" w:hAnsi="宋体" w:cs="宋体"/>
          <w:sz w:val="24"/>
          <w:szCs w:val="24"/>
          <w:highlight w:val="none"/>
          <w:lang w:val="en-US" w:eastAsia="zh-CN"/>
        </w:rPr>
        <w:t xml:space="preserve"> 752</w:t>
      </w:r>
      <w:r>
        <w:rPr>
          <w:rFonts w:hint="eastAsia" w:ascii="宋体" w:hAnsi="宋体" w:cs="宋体"/>
          <w:sz w:val="24"/>
          <w:szCs w:val="24"/>
          <w:highlight w:val="none"/>
        </w:rPr>
        <w:t>《火力发电厂</w:t>
      </w:r>
      <w:r>
        <w:rPr>
          <w:rFonts w:hint="eastAsia" w:ascii="宋体" w:hAnsi="宋体" w:cs="宋体"/>
          <w:sz w:val="24"/>
          <w:szCs w:val="24"/>
          <w:highlight w:val="none"/>
          <w:lang w:val="en-US" w:eastAsia="zh-CN"/>
        </w:rPr>
        <w:t>异种钢</w:t>
      </w:r>
      <w:r>
        <w:rPr>
          <w:rFonts w:hint="eastAsia" w:ascii="宋体" w:hAnsi="宋体" w:cs="宋体"/>
          <w:sz w:val="24"/>
          <w:szCs w:val="24"/>
          <w:highlight w:val="none"/>
        </w:rPr>
        <w:t>焊接技术规程</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DL/T 5210.5-2018《电力建设施工质量验收规程 第5部分：焊接》       </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DL/T 5190.5-2019《电力建设施工技术规范 第5部分：管道及系统》    </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DL/T 5210.3-2018《电力建设施工质量验收规程 第3部分：汽轮发电机组》</w:t>
      </w:r>
    </w:p>
    <w:p>
      <w:pPr>
        <w:tabs>
          <w:tab w:val="left" w:pos="0"/>
        </w:tabs>
        <w:kinsoku w:val="0"/>
        <w:overflowPunct w:val="0"/>
        <w:adjustRightInd/>
        <w:spacing w:line="400" w:lineRule="atLeast"/>
        <w:ind w:left="2"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DL/T 438-2016《火力发电厂金属技术监督规程》                    </w:t>
      </w:r>
      <w:r>
        <w:rPr>
          <w:rFonts w:hint="eastAsia" w:ascii="宋体" w:hAnsi="宋体"/>
          <w:highlight w:val="none"/>
        </w:rPr>
        <w:t xml:space="preserve">       </w:t>
      </w:r>
    </w:p>
    <w:p>
      <w:pPr>
        <w:numPr>
          <w:ilvl w:val="0"/>
          <w:numId w:val="36"/>
        </w:numPr>
        <w:snapToGrid w:val="0"/>
        <w:spacing w:line="400" w:lineRule="atLeast"/>
        <w:jc w:val="left"/>
        <w:textAlignment w:val="auto"/>
        <w:rPr>
          <w:rFonts w:ascii="宋体" w:hAnsi="宋体"/>
          <w:b/>
          <w:bCs/>
          <w:sz w:val="24"/>
          <w:szCs w:val="24"/>
          <w:highlight w:val="none"/>
        </w:rPr>
      </w:pPr>
      <w:bookmarkStart w:id="164" w:name="_Toc2985_WPSOffice_Level2"/>
      <w:bookmarkStart w:id="165" w:name="_Toc7157_WPSOffice_Level2"/>
      <w:bookmarkStart w:id="166" w:name="_Toc6823_WPSOffice_Level2"/>
      <w:bookmarkStart w:id="167" w:name="_Toc26388_WPSOffice_Level2"/>
      <w:bookmarkStart w:id="168" w:name="_Toc864_WPSOffice_Level2"/>
      <w:r>
        <w:rPr>
          <w:rFonts w:hint="eastAsia" w:ascii="宋体" w:hAnsi="宋体"/>
          <w:b/>
          <w:bCs/>
          <w:sz w:val="24"/>
          <w:szCs w:val="24"/>
          <w:highlight w:val="none"/>
        </w:rPr>
        <w:t>工期</w:t>
      </w:r>
      <w:bookmarkEnd w:id="164"/>
      <w:bookmarkEnd w:id="165"/>
      <w:bookmarkEnd w:id="166"/>
      <w:bookmarkEnd w:id="167"/>
      <w:bookmarkEnd w:id="168"/>
      <w:r>
        <w:rPr>
          <w:rFonts w:hint="eastAsia" w:ascii="宋体" w:hAnsi="宋体"/>
          <w:b/>
          <w:bCs/>
          <w:sz w:val="24"/>
          <w:szCs w:val="24"/>
          <w:highlight w:val="none"/>
        </w:rPr>
        <w:t>要求</w:t>
      </w:r>
    </w:p>
    <w:p>
      <w:pPr>
        <w:pStyle w:val="81"/>
        <w:tabs>
          <w:tab w:val="left" w:pos="0"/>
        </w:tabs>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宋体"/>
          <w:bCs/>
          <w:sz w:val="24"/>
          <w:szCs w:val="24"/>
          <w:highlight w:val="none"/>
        </w:rPr>
        <w:t>合同签订生效后，本项目分两阶段进行施工。</w:t>
      </w:r>
    </w:p>
    <w:p>
      <w:pPr>
        <w:pStyle w:val="81"/>
        <w:numPr>
          <w:ilvl w:val="0"/>
          <w:numId w:val="39"/>
        </w:numPr>
        <w:tabs>
          <w:tab w:val="left" w:pos="0"/>
        </w:tabs>
        <w:autoSpaceDE/>
        <w:autoSpaceDN/>
        <w:adjustRightInd/>
        <w:spacing w:line="400" w:lineRule="atLeast"/>
        <w:ind w:firstLine="0" w:firstLineChars="0"/>
        <w:textAlignment w:val="auto"/>
        <w:rPr>
          <w:rFonts w:ascii="宋体" w:hAnsi="宋体" w:cs="宋体"/>
          <w:sz w:val="24"/>
          <w:szCs w:val="24"/>
          <w:highlight w:val="none"/>
        </w:rPr>
      </w:pPr>
      <w:r>
        <w:rPr>
          <w:rFonts w:hint="eastAsia" w:ascii="宋体" w:hAnsi="宋体" w:cs="宋体"/>
          <w:bCs/>
          <w:sz w:val="24"/>
          <w:szCs w:val="24"/>
          <w:highlight w:val="none"/>
        </w:rPr>
        <w:t>采购方根据实际生产情况安排三台锅炉</w:t>
      </w:r>
      <w:r>
        <w:rPr>
          <w:rFonts w:ascii="宋体" w:hAnsi="Calibri" w:cs="宋体"/>
          <w:color w:val="000000"/>
          <w:sz w:val="24"/>
          <w:szCs w:val="24"/>
          <w:highlight w:val="none"/>
        </w:rPr>
        <w:t>汽水系统管道（给水管道、减温水管道、再循环水管</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主给水管疏水阀及其管道</w:t>
      </w:r>
      <w:r>
        <w:rPr>
          <w:rFonts w:ascii="宋体" w:hAnsi="Calibri" w:cs="宋体"/>
          <w:color w:val="000000"/>
          <w:sz w:val="24"/>
          <w:szCs w:val="24"/>
          <w:highlight w:val="none"/>
        </w:rPr>
        <w:t>）更换</w:t>
      </w:r>
      <w:r>
        <w:rPr>
          <w:rFonts w:hint="eastAsia" w:ascii="宋体" w:hAnsi="Calibri" w:cs="宋体"/>
          <w:color w:val="000000"/>
          <w:sz w:val="24"/>
          <w:szCs w:val="24"/>
          <w:highlight w:val="none"/>
        </w:rPr>
        <w:t>，其中包含流量计、</w:t>
      </w:r>
      <w:r>
        <w:rPr>
          <w:rFonts w:hint="eastAsia" w:ascii="宋体" w:hAnsi="宋体" w:cs="宋体"/>
          <w:sz w:val="24"/>
          <w:szCs w:val="24"/>
          <w:highlight w:val="none"/>
        </w:rPr>
        <w:t>温度、压力测点</w:t>
      </w:r>
      <w:r>
        <w:rPr>
          <w:rFonts w:hint="eastAsia" w:ascii="宋体" w:hAnsi="宋体" w:cs="宋体"/>
          <w:sz w:val="24"/>
          <w:szCs w:val="24"/>
          <w:highlight w:val="none"/>
          <w:lang w:eastAsia="zh-CN"/>
        </w:rPr>
        <w:t>拆除安装恢复</w:t>
      </w:r>
      <w:r>
        <w:rPr>
          <w:rFonts w:hint="eastAsia" w:ascii="宋体" w:hAnsi="宋体" w:cs="宋体"/>
          <w:sz w:val="24"/>
          <w:szCs w:val="24"/>
          <w:highlight w:val="none"/>
        </w:rPr>
        <w:t>；报价方接采购方通知后，</w:t>
      </w:r>
      <w:r>
        <w:rPr>
          <w:rFonts w:hint="eastAsia" w:ascii="宋体" w:hAnsi="宋体" w:cs="宋体"/>
          <w:bCs/>
          <w:sz w:val="24"/>
          <w:szCs w:val="24"/>
          <w:highlight w:val="none"/>
        </w:rPr>
        <w:t>每台锅炉施工工期从开工日起7天内完成</w:t>
      </w:r>
      <w:r>
        <w:rPr>
          <w:rFonts w:hint="eastAsia" w:ascii="宋体" w:hAnsi="宋体" w:cs="宋体"/>
          <w:sz w:val="24"/>
          <w:szCs w:val="24"/>
          <w:highlight w:val="none"/>
        </w:rPr>
        <w:t>工程范围内全部工作内容，使设备具备投运条件。</w:t>
      </w:r>
    </w:p>
    <w:p>
      <w:pPr>
        <w:pStyle w:val="81"/>
        <w:numPr>
          <w:ilvl w:val="0"/>
          <w:numId w:val="39"/>
        </w:numPr>
        <w:autoSpaceDE/>
        <w:autoSpaceDN/>
        <w:adjustRightInd/>
        <w:snapToGrid w:val="0"/>
        <w:spacing w:line="400" w:lineRule="atLeast"/>
        <w:ind w:firstLine="0" w:firstLineChars="0"/>
        <w:jc w:val="left"/>
        <w:textAlignment w:val="auto"/>
        <w:rPr>
          <w:rFonts w:hint="eastAsia" w:ascii="宋体" w:hAnsi="宋体" w:cs="宋体"/>
          <w:bCs/>
          <w:sz w:val="24"/>
          <w:szCs w:val="24"/>
          <w:highlight w:val="none"/>
        </w:rPr>
      </w:pPr>
      <w:r>
        <w:rPr>
          <w:rFonts w:hint="eastAsia" w:ascii="宋体" w:hAnsi="宋体" w:cs="宋体"/>
          <w:bCs/>
          <w:sz w:val="24"/>
          <w:szCs w:val="24"/>
          <w:highlight w:val="none"/>
        </w:rPr>
        <w:t>三台锅炉锅炉出口隔离阀、1#2#主蒸汽母管联络阀更换等，其中包含旁路阀、疏水阀</w:t>
      </w:r>
      <w:r>
        <w:rPr>
          <w:rFonts w:hint="eastAsia" w:ascii="宋体" w:hAnsi="宋体" w:cs="宋体"/>
          <w:bCs/>
          <w:sz w:val="24"/>
          <w:szCs w:val="24"/>
          <w:highlight w:val="none"/>
          <w:lang w:val="en-US" w:eastAsia="zh-CN"/>
        </w:rPr>
        <w:t>及其管道</w:t>
      </w:r>
      <w:r>
        <w:rPr>
          <w:rFonts w:hint="eastAsia" w:ascii="宋体" w:hAnsi="宋体" w:cs="宋体"/>
          <w:bCs/>
          <w:sz w:val="24"/>
          <w:szCs w:val="24"/>
          <w:highlight w:val="none"/>
        </w:rPr>
        <w:t>更换。报价方接采购方通知后，</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 xml:space="preserve">天内完成工程范围内全部工作内容，使设备具备投运条件。本项目工程可停运设备供报价方施工在2023年春节期间，因此报价方需提前做好开工前准备工作，确保工作有序、按期完成，不影响采购方正常计划生产时间。    </w:t>
      </w:r>
    </w:p>
    <w:p>
      <w:pPr>
        <w:numPr>
          <w:ilvl w:val="0"/>
          <w:numId w:val="36"/>
        </w:numPr>
        <w:snapToGrid w:val="0"/>
        <w:spacing w:line="400" w:lineRule="atLeast"/>
        <w:jc w:val="left"/>
        <w:textAlignment w:val="auto"/>
        <w:rPr>
          <w:rFonts w:ascii="宋体" w:hAnsi="宋体"/>
          <w:b/>
          <w:bCs/>
          <w:sz w:val="24"/>
          <w:szCs w:val="24"/>
          <w:highlight w:val="none"/>
        </w:rPr>
      </w:pPr>
      <w:bookmarkStart w:id="169" w:name="_Toc31273_WPSOffice_Level2"/>
      <w:bookmarkStart w:id="170" w:name="_Toc839_WPSOffice_Level2"/>
      <w:bookmarkStart w:id="171" w:name="_Toc13594_WPSOffice_Level2"/>
      <w:bookmarkStart w:id="172" w:name="_Toc15711_WPSOffice_Level2"/>
      <w:bookmarkStart w:id="173" w:name="_Toc18724_WPSOffice_Level2"/>
      <w:r>
        <w:rPr>
          <w:rFonts w:hint="eastAsia" w:ascii="宋体" w:hAnsi="宋体"/>
          <w:b/>
          <w:bCs/>
          <w:sz w:val="24"/>
          <w:szCs w:val="24"/>
          <w:highlight w:val="none"/>
        </w:rPr>
        <w:t>安装技术规范要求</w:t>
      </w:r>
      <w:bookmarkEnd w:id="169"/>
      <w:bookmarkEnd w:id="170"/>
      <w:bookmarkEnd w:id="171"/>
      <w:bookmarkEnd w:id="172"/>
      <w:bookmarkEnd w:id="173"/>
    </w:p>
    <w:p>
      <w:pPr>
        <w:numPr>
          <w:ilvl w:val="0"/>
          <w:numId w:val="40"/>
        </w:numPr>
        <w:kinsoku w:val="0"/>
        <w:overflowPunct w:val="0"/>
        <w:autoSpaceDE/>
        <w:autoSpaceDN/>
        <w:snapToGrid w:val="0"/>
        <w:spacing w:line="440" w:lineRule="atLeast"/>
        <w:ind w:left="-2" w:leftChars="0" w:firstLineChars="0"/>
        <w:textAlignment w:val="auto"/>
        <w:rPr>
          <w:rFonts w:ascii="宋体" w:hAnsi="宋体" w:cs="宋体"/>
          <w:sz w:val="24"/>
          <w:szCs w:val="24"/>
          <w:highlight w:val="none"/>
        </w:rPr>
      </w:pPr>
      <w:r>
        <w:rPr>
          <w:rFonts w:hint="eastAsia" w:ascii="宋体" w:hAnsi="宋体" w:cs="宋体"/>
          <w:sz w:val="24"/>
          <w:szCs w:val="24"/>
          <w:highlight w:val="none"/>
        </w:rPr>
        <w:t>一般要求</w:t>
      </w:r>
    </w:p>
    <w:p>
      <w:pPr>
        <w:numPr>
          <w:ilvl w:val="0"/>
          <w:numId w:val="41"/>
        </w:numPr>
        <w:kinsoku w:val="0"/>
        <w:overflowPunct w:val="0"/>
        <w:autoSpaceDE/>
        <w:autoSpaceDN/>
        <w:snapToGrid w:val="0"/>
        <w:spacing w:line="440" w:lineRule="atLeast"/>
        <w:textAlignment w:val="auto"/>
        <w:rPr>
          <w:rFonts w:ascii="宋体" w:hAnsi="宋体" w:cs="宋体"/>
          <w:sz w:val="24"/>
          <w:szCs w:val="24"/>
          <w:highlight w:val="none"/>
        </w:rPr>
      </w:pPr>
      <w:r>
        <w:rPr>
          <w:rFonts w:hint="eastAsia" w:ascii="宋体" w:hAnsi="宋体" w:cs="宋体"/>
          <w:sz w:val="24"/>
          <w:szCs w:val="24"/>
          <w:highlight w:val="none"/>
        </w:rPr>
        <w:t>本项目中施工作业涉及高空作业、起重吊装作业、焊接作业，所有这些主要方面的作业人员必须熟知相应的高处作业安全技术规程、起重吊装作业安全技术规程、焊接作业安全技术规程，并严格按照规程进行施工工作。</w:t>
      </w:r>
    </w:p>
    <w:p>
      <w:pPr>
        <w:numPr>
          <w:ilvl w:val="0"/>
          <w:numId w:val="41"/>
        </w:numPr>
        <w:kinsoku w:val="0"/>
        <w:overflowPunct w:val="0"/>
        <w:autoSpaceDE/>
        <w:autoSpaceDN/>
        <w:snapToGrid w:val="0"/>
        <w:spacing w:line="440" w:lineRule="atLeast"/>
        <w:textAlignment w:val="auto"/>
        <w:rPr>
          <w:rFonts w:ascii="宋体" w:hAnsi="宋体" w:cs="宋体"/>
          <w:sz w:val="24"/>
          <w:szCs w:val="24"/>
          <w:highlight w:val="none"/>
        </w:rPr>
      </w:pPr>
      <w:r>
        <w:rPr>
          <w:rFonts w:ascii="宋体" w:hAnsi="宋体"/>
          <w:sz w:val="24"/>
          <w:szCs w:val="24"/>
          <w:highlight w:val="none"/>
        </w:rPr>
        <w:t>焊工</w:t>
      </w:r>
      <w:r>
        <w:rPr>
          <w:rFonts w:hint="eastAsia" w:ascii="宋体" w:hAnsi="宋体"/>
          <w:sz w:val="24"/>
          <w:szCs w:val="24"/>
          <w:highlight w:val="none"/>
        </w:rPr>
        <w:t>、</w:t>
      </w:r>
      <w:r>
        <w:rPr>
          <w:rFonts w:ascii="宋体" w:hAnsi="宋体"/>
          <w:sz w:val="24"/>
          <w:szCs w:val="24"/>
          <w:highlight w:val="none"/>
        </w:rPr>
        <w:t>无损检验人员应具备电力行业颁发的从业有效资格证书</w:t>
      </w:r>
      <w:r>
        <w:rPr>
          <w:rFonts w:hint="eastAsia" w:ascii="宋体" w:hAnsi="宋体"/>
          <w:sz w:val="24"/>
          <w:szCs w:val="24"/>
          <w:highlight w:val="none"/>
        </w:rPr>
        <w:t>，</w:t>
      </w:r>
      <w:r>
        <w:rPr>
          <w:rFonts w:ascii="宋体" w:hAnsi="宋体"/>
          <w:sz w:val="24"/>
          <w:szCs w:val="24"/>
          <w:highlight w:val="none"/>
        </w:rPr>
        <w:t>并接受</w:t>
      </w:r>
      <w:r>
        <w:rPr>
          <w:rFonts w:hint="eastAsia" w:ascii="宋体" w:hAnsi="宋体"/>
          <w:sz w:val="24"/>
          <w:szCs w:val="24"/>
          <w:highlight w:val="none"/>
        </w:rPr>
        <w:t>采购方</w:t>
      </w:r>
      <w:r>
        <w:rPr>
          <w:rFonts w:ascii="宋体" w:hAnsi="宋体"/>
          <w:sz w:val="24"/>
          <w:szCs w:val="24"/>
          <w:highlight w:val="none"/>
        </w:rPr>
        <w:t>审查</w:t>
      </w:r>
      <w:r>
        <w:rPr>
          <w:rFonts w:hint="eastAsia" w:ascii="宋体" w:hAnsi="宋体"/>
          <w:sz w:val="24"/>
          <w:szCs w:val="24"/>
          <w:highlight w:val="none"/>
        </w:rPr>
        <w:t>。</w:t>
      </w:r>
    </w:p>
    <w:p>
      <w:pPr>
        <w:numPr>
          <w:ilvl w:val="0"/>
          <w:numId w:val="41"/>
        </w:numPr>
        <w:kinsoku w:val="0"/>
        <w:overflowPunct w:val="0"/>
        <w:autoSpaceDE/>
        <w:autoSpaceDN/>
        <w:snapToGrid w:val="0"/>
        <w:spacing w:line="440" w:lineRule="atLeast"/>
        <w:textAlignment w:val="auto"/>
        <w:rPr>
          <w:rFonts w:ascii="宋体" w:hAnsi="宋体" w:eastAsia="宋体" w:cs="宋体"/>
          <w:kern w:val="0"/>
          <w:sz w:val="24"/>
          <w:szCs w:val="24"/>
          <w:highlight w:val="none"/>
        </w:rPr>
      </w:pPr>
      <w:r>
        <w:rPr>
          <w:rFonts w:hint="eastAsia" w:ascii="宋体" w:hAnsi="宋体"/>
          <w:sz w:val="24"/>
          <w:szCs w:val="24"/>
          <w:highlight w:val="none"/>
        </w:rPr>
        <w:t>管道施工的安全、环境和防火应按照D</w:t>
      </w:r>
      <w:r>
        <w:rPr>
          <w:rFonts w:ascii="宋体" w:hAnsi="宋体"/>
          <w:sz w:val="24"/>
          <w:szCs w:val="24"/>
          <w:highlight w:val="none"/>
        </w:rPr>
        <w:t>L5009.1</w:t>
      </w:r>
      <w:r>
        <w:rPr>
          <w:rFonts w:hint="eastAsia" w:ascii="宋体" w:hAnsi="宋体"/>
          <w:sz w:val="24"/>
          <w:szCs w:val="24"/>
          <w:highlight w:val="none"/>
        </w:rPr>
        <w:t>《电力建设安全工作规程 第1部分：火力发电》的规定执行。</w:t>
      </w:r>
    </w:p>
    <w:p>
      <w:pPr>
        <w:numPr>
          <w:ilvl w:val="0"/>
          <w:numId w:val="41"/>
        </w:numPr>
        <w:kinsoku w:val="0"/>
        <w:overflowPunct w:val="0"/>
        <w:autoSpaceDE/>
        <w:autoSpaceDN/>
        <w:snapToGrid w:val="0"/>
        <w:spacing w:line="440" w:lineRule="atLeas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施工时严格按照图纸及变更要求进行，对厂供的零件应严格按照制造厂提供的安装、组装及使用说明书进行安装。 </w:t>
      </w:r>
    </w:p>
    <w:p>
      <w:pPr>
        <w:numPr>
          <w:ilvl w:val="0"/>
          <w:numId w:val="41"/>
        </w:numPr>
        <w:kinsoku w:val="0"/>
        <w:overflowPunct w:val="0"/>
        <w:autoSpaceDE/>
        <w:autoSpaceDN/>
        <w:snapToGrid w:val="0"/>
        <w:spacing w:line="440" w:lineRule="atLeas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对每一个施工项目必须做好“三检”（自检、互检、专检）记录和分级验收。</w:t>
      </w:r>
    </w:p>
    <w:p>
      <w:pPr>
        <w:numPr>
          <w:ilvl w:val="0"/>
          <w:numId w:val="41"/>
        </w:numPr>
        <w:kinsoku w:val="0"/>
        <w:overflowPunct w:val="0"/>
        <w:autoSpaceDE/>
        <w:autoSpaceDN/>
        <w:snapToGrid w:val="0"/>
        <w:spacing w:line="440" w:lineRule="atLeas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设备材料应严格按照施工图纸和厂家图进行检验。</w:t>
      </w:r>
    </w:p>
    <w:p>
      <w:pPr>
        <w:numPr>
          <w:ilvl w:val="0"/>
          <w:numId w:val="41"/>
        </w:numPr>
        <w:kinsoku w:val="0"/>
        <w:overflowPunct w:val="0"/>
        <w:autoSpaceDE/>
        <w:autoSpaceDN/>
        <w:snapToGrid w:val="0"/>
        <w:spacing w:line="440" w:lineRule="atLeas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在施工过程中必须做好过程监控记录与各项目的质量验收记录。</w:t>
      </w:r>
    </w:p>
    <w:p>
      <w:pPr>
        <w:numPr>
          <w:ilvl w:val="0"/>
          <w:numId w:val="41"/>
        </w:numPr>
        <w:kinsoku w:val="0"/>
        <w:overflowPunct w:val="0"/>
        <w:autoSpaceDE/>
        <w:autoSpaceDN/>
        <w:snapToGrid w:val="0"/>
        <w:spacing w:line="440" w:lineRule="atLeast"/>
        <w:textAlignment w:val="auto"/>
        <w:rPr>
          <w:highlight w:val="none"/>
        </w:rPr>
      </w:pPr>
      <w:r>
        <w:rPr>
          <w:rFonts w:hint="eastAsia" w:asciiTheme="minorEastAsia" w:hAnsiTheme="minorEastAsia" w:cstheme="minorEastAsia"/>
          <w:sz w:val="24"/>
          <w:szCs w:val="24"/>
          <w:highlight w:val="none"/>
        </w:rPr>
        <w:t>保温拆除作业应有隔离设施，防止污染环境。高空输送散装材料或废料时，必须用袋、箱装运，也可设置下料筒道，防止散落伤人和造成二次污染环境。</w:t>
      </w:r>
    </w:p>
    <w:p>
      <w:pPr>
        <w:numPr>
          <w:ilvl w:val="0"/>
          <w:numId w:val="41"/>
        </w:numPr>
        <w:kinsoku w:val="0"/>
        <w:overflowPunct w:val="0"/>
        <w:autoSpaceDE/>
        <w:autoSpaceDN/>
        <w:snapToGrid w:val="0"/>
        <w:spacing w:line="440" w:lineRule="atLeast"/>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 施工中应作好以下记录。</w:t>
      </w:r>
    </w:p>
    <w:p>
      <w:pPr>
        <w:numPr>
          <w:ilvl w:val="0"/>
          <w:numId w:val="42"/>
        </w:numPr>
        <w:kinsoku w:val="0"/>
        <w:overflowPunct w:val="0"/>
        <w:autoSpaceDE/>
        <w:autoSpaceDN/>
        <w:adjustRightInd/>
        <w:snapToGrid w:val="0"/>
        <w:spacing w:line="440" w:lineRule="atLeast"/>
        <w:ind w:leftChars="0" w:firstLine="2"/>
        <w:jc w:val="left"/>
        <w:textAlignment w:val="auto"/>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光谱复查记录。</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直管、管件的测厚记录。</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吊架弹簧冷态值记录，安装值记录。</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管道安装记录（水平偏差、垂直偏差等）。</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材料领用记录。</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各焊口热处理曲线图。</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锅炉主蒸汽阀门更换施工</w:t>
      </w:r>
      <w:r>
        <w:rPr>
          <w:rFonts w:hint="eastAsia" w:ascii="宋体" w:hAnsi="宋体" w:eastAsia="宋体" w:cs="宋体"/>
          <w:b/>
          <w:bCs/>
          <w:kern w:val="0"/>
          <w:sz w:val="24"/>
          <w:szCs w:val="24"/>
          <w:highlight w:val="none"/>
          <w:lang w:eastAsia="zh-CN"/>
        </w:rPr>
        <w:t>）</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焊缝硬度检测记录。</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道焊口及监测位的保温外衣外的标记。</w:t>
      </w:r>
    </w:p>
    <w:p>
      <w:pPr>
        <w:numPr>
          <w:ilvl w:val="0"/>
          <w:numId w:val="42"/>
        </w:numPr>
        <w:kinsoku w:val="0"/>
        <w:overflowPunct w:val="0"/>
        <w:autoSpaceDE/>
        <w:autoSpaceDN/>
        <w:adjustRightInd/>
        <w:snapToGrid w:val="0"/>
        <w:spacing w:line="440" w:lineRule="atLeast"/>
        <w:ind w:leftChars="0" w:firstLine="2"/>
        <w:jc w:val="left"/>
        <w:textAlignment w:val="auto"/>
        <w:rPr>
          <w:rFonts w:hint="eastAsia" w:ascii="宋体" w:hAnsi="宋体" w:cs="宋体"/>
          <w:b/>
          <w:bCs/>
          <w:sz w:val="24"/>
          <w:szCs w:val="24"/>
          <w:highlight w:val="none"/>
        </w:rPr>
      </w:pPr>
      <w:r>
        <w:rPr>
          <w:rFonts w:hint="eastAsia" w:ascii="宋体" w:hAnsi="宋体" w:eastAsia="宋体" w:cs="宋体"/>
          <w:b/>
          <w:bCs/>
          <w:kern w:val="0"/>
          <w:sz w:val="24"/>
          <w:szCs w:val="24"/>
          <w:highlight w:val="none"/>
        </w:rPr>
        <w:t>各种质量验收记录。</w:t>
      </w:r>
    </w:p>
    <w:p>
      <w:pPr>
        <w:numPr>
          <w:ilvl w:val="0"/>
          <w:numId w:val="40"/>
        </w:numPr>
        <w:kinsoku w:val="0"/>
        <w:overflowPunct w:val="0"/>
        <w:adjustRightInd/>
        <w:spacing w:line="400" w:lineRule="atLeast"/>
        <w:ind w:left="-2" w:leftChars="0" w:firstLineChars="0"/>
        <w:textAlignment w:val="auto"/>
        <w:rPr>
          <w:rFonts w:ascii="宋体" w:hAnsi="宋体" w:cs="宋体"/>
          <w:sz w:val="24"/>
          <w:szCs w:val="24"/>
          <w:highlight w:val="none"/>
        </w:rPr>
      </w:pPr>
      <w:r>
        <w:rPr>
          <w:rFonts w:hint="eastAsia" w:ascii="宋体" w:hAnsi="宋体" w:cs="宋体"/>
          <w:sz w:val="24"/>
          <w:szCs w:val="24"/>
          <w:highlight w:val="none"/>
        </w:rPr>
        <w:t>焊接技术要求</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旧设备拆除时严格按相关技术要求，并结合待更换设备的尺寸，考虑预留修整去除坡口尺寸。</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 xml:space="preserve"> 切割时，必须用专用切割工具切割；割开后的管下管口，必须用专用管堵堵上，以防工具、杂物等落入管内，原则上管子下料应用机械方法，管子坡口符合应相关规范要求。</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焊接前需进行宏观检查，管材表面应无裂纹、重皮、撞伤、龟裂、压扁、砂眼、凹坑等缺陷；承压管道应按有关规范要求进行100%通球检查。</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管子对接前应将焊口表面及附近母材内外壁的油、漆、垢、锈等清除干净，焊口两侧15-20mm的范围内应磨削直至发出金属光泽。</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焊口严禁用强力对口，更不允许用热膨胀方法对口，以防止引起附加应力。焊接施工过程包括对口、装配、施焊及检验4个工序，上道工序符合要求后， 方可进行下一道工序。管子焊接时，管内不得有穿堂风。不得对焊接接头进行加热矫正。</w:t>
      </w:r>
    </w:p>
    <w:p>
      <w:pPr>
        <w:numPr>
          <w:ilvl w:val="0"/>
          <w:numId w:val="43"/>
        </w:numPr>
        <w:kinsoku w:val="0"/>
        <w:overflowPunct w:val="0"/>
        <w:adjustRightInd/>
        <w:spacing w:line="400" w:lineRule="atLeast"/>
        <w:textAlignment w:val="auto"/>
        <w:rPr>
          <w:rFonts w:hint="eastAsia" w:ascii="宋体" w:hAnsi="宋体"/>
          <w:sz w:val="24"/>
          <w:szCs w:val="24"/>
          <w:highlight w:val="none"/>
        </w:rPr>
      </w:pPr>
      <w:r>
        <w:rPr>
          <w:rFonts w:hint="eastAsia" w:ascii="宋体" w:hAnsi="宋体"/>
          <w:sz w:val="24"/>
          <w:szCs w:val="24"/>
          <w:highlight w:val="none"/>
        </w:rPr>
        <w:t>焊口焊完后应清理干净。承压件焊口有超过标准的缺陷时，可采取挖补方式返修，挖补的次数不得超过2次</w:t>
      </w:r>
      <w:r>
        <w:rPr>
          <w:rFonts w:hint="eastAsia" w:ascii="宋体" w:hAnsi="宋体"/>
          <w:sz w:val="24"/>
          <w:szCs w:val="24"/>
          <w:highlight w:val="none"/>
          <w:lang w:eastAsia="zh-CN"/>
        </w:rPr>
        <w:t>。</w:t>
      </w:r>
    </w:p>
    <w:p>
      <w:pPr>
        <w:numPr>
          <w:ilvl w:val="0"/>
          <w:numId w:val="43"/>
        </w:numPr>
        <w:kinsoku w:val="0"/>
        <w:overflowPunct w:val="0"/>
        <w:adjustRightInd/>
        <w:spacing w:line="400" w:lineRule="atLeast"/>
        <w:textAlignment w:val="auto"/>
        <w:rPr>
          <w:rFonts w:hint="eastAsia" w:ascii="宋体" w:hAnsi="宋体"/>
          <w:b/>
          <w:bCs/>
          <w:sz w:val="24"/>
          <w:szCs w:val="24"/>
          <w:highlight w:val="none"/>
        </w:rPr>
      </w:pPr>
      <w:r>
        <w:rPr>
          <w:rFonts w:hint="eastAsia" w:ascii="宋体" w:hAnsi="宋体"/>
          <w:b/>
          <w:bCs/>
          <w:sz w:val="24"/>
          <w:szCs w:val="24"/>
          <w:highlight w:val="none"/>
        </w:rPr>
        <w:t>管道焊接</w:t>
      </w:r>
      <w:r>
        <w:rPr>
          <w:rFonts w:hint="eastAsia" w:ascii="宋体" w:hAnsi="宋体"/>
          <w:b/>
          <w:bCs/>
          <w:sz w:val="24"/>
          <w:szCs w:val="24"/>
          <w:highlight w:val="none"/>
          <w:lang w:val="en-US" w:eastAsia="zh-CN"/>
        </w:rPr>
        <w:t>及热处理</w:t>
      </w:r>
      <w:r>
        <w:rPr>
          <w:rFonts w:hint="eastAsia" w:ascii="宋体" w:hAnsi="宋体"/>
          <w:b/>
          <w:bCs/>
          <w:sz w:val="24"/>
          <w:szCs w:val="24"/>
          <w:highlight w:val="none"/>
        </w:rPr>
        <w:t>应符合D</w:t>
      </w:r>
      <w:r>
        <w:rPr>
          <w:rFonts w:ascii="宋体" w:hAnsi="宋体"/>
          <w:b/>
          <w:bCs/>
          <w:sz w:val="24"/>
          <w:szCs w:val="24"/>
          <w:highlight w:val="none"/>
        </w:rPr>
        <w:t>L/T869</w:t>
      </w:r>
      <w:r>
        <w:rPr>
          <w:rFonts w:hint="eastAsia" w:ascii="宋体" w:hAnsi="宋体"/>
          <w:b/>
          <w:bCs/>
          <w:sz w:val="24"/>
          <w:szCs w:val="24"/>
          <w:highlight w:val="none"/>
        </w:rPr>
        <w:t>《火力发电厂焊接技术规程》</w:t>
      </w:r>
      <w:r>
        <w:rPr>
          <w:rFonts w:hint="eastAsia" w:ascii="宋体" w:hAnsi="宋体"/>
          <w:b/>
          <w:bCs/>
          <w:sz w:val="24"/>
          <w:szCs w:val="24"/>
          <w:highlight w:val="none"/>
          <w:lang w:eastAsia="zh-CN"/>
        </w:rPr>
        <w:t>、</w:t>
      </w:r>
      <w:r>
        <w:rPr>
          <w:rFonts w:hint="eastAsia" w:ascii="宋体" w:hAnsi="宋体"/>
          <w:b/>
          <w:bCs/>
          <w:sz w:val="24"/>
          <w:szCs w:val="24"/>
          <w:highlight w:val="none"/>
        </w:rPr>
        <w:t>D</w:t>
      </w:r>
      <w:r>
        <w:rPr>
          <w:rFonts w:ascii="宋体" w:hAnsi="宋体"/>
          <w:b/>
          <w:bCs/>
          <w:sz w:val="24"/>
          <w:szCs w:val="24"/>
          <w:highlight w:val="none"/>
        </w:rPr>
        <w:t>L/T869</w:t>
      </w:r>
      <w:r>
        <w:rPr>
          <w:rFonts w:hint="eastAsia" w:ascii="宋体" w:hAnsi="宋体"/>
          <w:b/>
          <w:bCs/>
          <w:sz w:val="24"/>
          <w:szCs w:val="24"/>
          <w:highlight w:val="none"/>
        </w:rPr>
        <w:t>《火力发电厂焊接</w:t>
      </w:r>
      <w:r>
        <w:rPr>
          <w:rFonts w:hint="eastAsia" w:ascii="宋体" w:hAnsi="宋体"/>
          <w:b/>
          <w:bCs/>
          <w:sz w:val="24"/>
          <w:szCs w:val="24"/>
          <w:highlight w:val="none"/>
          <w:lang w:val="en-US" w:eastAsia="zh-CN"/>
        </w:rPr>
        <w:t>热处理</w:t>
      </w:r>
      <w:r>
        <w:rPr>
          <w:rFonts w:hint="eastAsia" w:ascii="宋体" w:hAnsi="宋体"/>
          <w:b/>
          <w:bCs/>
          <w:sz w:val="24"/>
          <w:szCs w:val="24"/>
          <w:highlight w:val="none"/>
        </w:rPr>
        <w:t>技术规程》</w:t>
      </w:r>
      <w:r>
        <w:rPr>
          <w:rFonts w:hint="eastAsia" w:ascii="宋体" w:hAnsi="宋体"/>
          <w:b/>
          <w:bCs/>
          <w:sz w:val="24"/>
          <w:szCs w:val="24"/>
          <w:highlight w:val="none"/>
          <w:lang w:eastAsia="zh-CN"/>
        </w:rPr>
        <w:t>、</w:t>
      </w:r>
      <w:r>
        <w:rPr>
          <w:rFonts w:hint="eastAsia" w:ascii="宋体" w:hAnsi="宋体"/>
          <w:b/>
          <w:bCs/>
          <w:sz w:val="24"/>
          <w:szCs w:val="24"/>
          <w:highlight w:val="none"/>
        </w:rPr>
        <w:t>D</w:t>
      </w:r>
      <w:r>
        <w:rPr>
          <w:rFonts w:ascii="宋体" w:hAnsi="宋体"/>
          <w:b/>
          <w:bCs/>
          <w:sz w:val="24"/>
          <w:szCs w:val="24"/>
          <w:highlight w:val="none"/>
        </w:rPr>
        <w:t>L/T</w:t>
      </w:r>
      <w:r>
        <w:rPr>
          <w:rFonts w:hint="eastAsia" w:ascii="宋体" w:hAnsi="宋体"/>
          <w:b/>
          <w:bCs/>
          <w:sz w:val="24"/>
          <w:szCs w:val="24"/>
          <w:highlight w:val="none"/>
          <w:lang w:val="en-US" w:eastAsia="zh-CN"/>
        </w:rPr>
        <w:t>752</w:t>
      </w:r>
      <w:r>
        <w:rPr>
          <w:rFonts w:hint="eastAsia" w:ascii="宋体" w:hAnsi="宋体"/>
          <w:b/>
          <w:bCs/>
          <w:sz w:val="24"/>
          <w:szCs w:val="24"/>
          <w:highlight w:val="none"/>
        </w:rPr>
        <w:t>《火力发电厂</w:t>
      </w:r>
      <w:r>
        <w:rPr>
          <w:rFonts w:hint="eastAsia" w:ascii="宋体" w:hAnsi="宋体"/>
          <w:b/>
          <w:bCs/>
          <w:sz w:val="24"/>
          <w:szCs w:val="24"/>
          <w:highlight w:val="none"/>
          <w:lang w:val="en-US" w:eastAsia="zh-CN"/>
        </w:rPr>
        <w:t>异种钢</w:t>
      </w:r>
      <w:r>
        <w:rPr>
          <w:rFonts w:hint="eastAsia" w:ascii="宋体" w:hAnsi="宋体"/>
          <w:b/>
          <w:bCs/>
          <w:sz w:val="24"/>
          <w:szCs w:val="24"/>
          <w:highlight w:val="none"/>
        </w:rPr>
        <w:t>焊接技术规程》中的规定。选用的焊接材料（氩弧焊丝、焊条等）应与钢材匹配，焊接材料的质量应符合国家标准和其它相关规定，并提供生产厂家的质量保证书</w:t>
      </w:r>
      <w:r>
        <w:rPr>
          <w:rFonts w:hint="eastAsia" w:ascii="宋体" w:hAnsi="宋体"/>
          <w:b/>
          <w:bCs/>
          <w:sz w:val="24"/>
          <w:szCs w:val="24"/>
          <w:highlight w:val="none"/>
          <w:lang w:eastAsia="zh-CN"/>
        </w:rPr>
        <w:t>。</w:t>
      </w:r>
    </w:p>
    <w:p>
      <w:pPr>
        <w:numPr>
          <w:ilvl w:val="0"/>
          <w:numId w:val="43"/>
        </w:numPr>
        <w:kinsoku w:val="0"/>
        <w:overflowPunct w:val="0"/>
        <w:adjustRightInd/>
        <w:spacing w:line="400" w:lineRule="atLeast"/>
        <w:textAlignment w:val="auto"/>
        <w:rPr>
          <w:rFonts w:ascii="宋体" w:hAnsi="宋体" w:cs="宋体"/>
          <w:sz w:val="24"/>
          <w:szCs w:val="24"/>
          <w:highlight w:val="none"/>
        </w:rPr>
      </w:pPr>
      <w:r>
        <w:rPr>
          <w:rFonts w:hint="eastAsia" w:ascii="宋体" w:hAnsi="宋体" w:cs="宋体"/>
          <w:sz w:val="24"/>
          <w:szCs w:val="24"/>
          <w:highlight w:val="none"/>
          <w:lang w:val="en-US" w:eastAsia="zh-CN"/>
        </w:rPr>
        <w:t>给水管道φ108*6及DN200、DN250主蒸汽阀门</w:t>
      </w:r>
      <w:r>
        <w:rPr>
          <w:rFonts w:hint="eastAsia" w:ascii="宋体" w:hAnsi="宋体" w:cs="宋体"/>
          <w:sz w:val="24"/>
          <w:szCs w:val="24"/>
          <w:highlight w:val="none"/>
        </w:rPr>
        <w:t>焊接为氩弧焊打底，电焊罩面</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其余φ57*3.5、φ57*5管道及φ32*2.5、φ38*2.5阀门采用纯氩弧焊焊接工艺</w:t>
      </w:r>
      <w:r>
        <w:rPr>
          <w:rFonts w:hint="eastAsia" w:ascii="宋体" w:hAnsi="宋体" w:cs="宋体"/>
          <w:sz w:val="24"/>
          <w:szCs w:val="24"/>
          <w:highlight w:val="none"/>
        </w:rPr>
        <w:t>。</w:t>
      </w:r>
    </w:p>
    <w:p>
      <w:pPr>
        <w:numPr>
          <w:ilvl w:val="0"/>
          <w:numId w:val="43"/>
        </w:numPr>
        <w:kinsoku w:val="0"/>
        <w:overflowPunct w:val="0"/>
        <w:adjustRightInd/>
        <w:spacing w:line="400" w:lineRule="atLeast"/>
        <w:textAlignment w:val="auto"/>
        <w:rPr>
          <w:rFonts w:ascii="宋体" w:hAnsi="宋体"/>
          <w:sz w:val="24"/>
          <w:highlight w:val="none"/>
        </w:rPr>
      </w:pPr>
      <w:r>
        <w:rPr>
          <w:rFonts w:hint="eastAsia" w:ascii="宋体" w:hAnsi="宋体" w:cs="宋体"/>
          <w:sz w:val="24"/>
          <w:szCs w:val="24"/>
          <w:highlight w:val="none"/>
        </w:rPr>
        <w:t>管道上各仪表测点安装前须经采购方核实后安装，3套减温水流量孔板流量计拆除前要做好保护设备措施、安装前要经采购方现场检查确认正常后在安装</w:t>
      </w:r>
      <w:r>
        <w:rPr>
          <w:rFonts w:hint="eastAsia" w:ascii="宋体" w:hAnsi="宋体"/>
          <w:sz w:val="24"/>
          <w:szCs w:val="24"/>
          <w:highlight w:val="none"/>
        </w:rPr>
        <w:t>。</w:t>
      </w:r>
    </w:p>
    <w:p>
      <w:pPr>
        <w:numPr>
          <w:ilvl w:val="0"/>
          <w:numId w:val="43"/>
        </w:numPr>
        <w:kinsoku w:val="0"/>
        <w:overflowPunct w:val="0"/>
        <w:adjustRightInd/>
        <w:spacing w:line="400" w:lineRule="atLeast"/>
        <w:textAlignment w:val="auto"/>
        <w:rPr>
          <w:rFonts w:ascii="宋体" w:hAnsi="宋体"/>
          <w:sz w:val="24"/>
          <w:highlight w:val="none"/>
        </w:rPr>
      </w:pPr>
      <w:r>
        <w:rPr>
          <w:rFonts w:hint="eastAsia" w:ascii="宋体" w:hAnsi="宋体"/>
          <w:sz w:val="24"/>
          <w:highlight w:val="none"/>
        </w:rPr>
        <w:t>焊接过程中使用的各种加热设备（包括焊后热处理）要求工作可靠，所有热电偶等温度检测元件、温度控制和记录仪表均在有效检定期内。</w:t>
      </w:r>
    </w:p>
    <w:p>
      <w:pPr>
        <w:numPr>
          <w:ilvl w:val="0"/>
          <w:numId w:val="0"/>
        </w:numPr>
        <w:tabs>
          <w:tab w:val="left" w:pos="0"/>
        </w:tabs>
        <w:kinsoku w:val="0"/>
        <w:overflowPunct w:val="0"/>
        <w:autoSpaceDE/>
        <w:autoSpaceDN/>
        <w:snapToGrid w:val="0"/>
        <w:spacing w:line="440" w:lineRule="atLeast"/>
        <w:ind w:leftChars="0"/>
        <w:textAlignment w:val="auto"/>
        <w:rPr>
          <w:rFonts w:ascii="宋体" w:hAnsi="宋体" w:cs="宋体"/>
          <w:sz w:val="24"/>
          <w:szCs w:val="24"/>
          <w:highlight w:val="none"/>
        </w:rPr>
      </w:pPr>
      <w:r>
        <w:rPr>
          <w:rFonts w:hint="eastAsia" w:ascii="宋体" w:hAnsi="宋体" w:cs="宋体"/>
          <w:sz w:val="24"/>
          <w:szCs w:val="24"/>
          <w:highlight w:val="none"/>
          <w:lang w:val="en-US" w:eastAsia="zh-CN"/>
        </w:rPr>
        <w:t>5.3</w:t>
      </w:r>
      <w:r>
        <w:rPr>
          <w:rFonts w:hint="eastAsia" w:ascii="宋体" w:hAnsi="宋体" w:cs="宋体"/>
          <w:sz w:val="24"/>
          <w:szCs w:val="24"/>
          <w:highlight w:val="none"/>
        </w:rPr>
        <w:t>焊接检验及相关检验</w:t>
      </w:r>
    </w:p>
    <w:p>
      <w:pPr>
        <w:numPr>
          <w:ilvl w:val="0"/>
          <w:numId w:val="44"/>
        </w:numPr>
        <w:kinsoku w:val="0"/>
        <w:overflowPunct w:val="0"/>
        <w:autoSpaceDE/>
        <w:autoSpaceDN/>
        <w:snapToGrid w:val="0"/>
        <w:spacing w:line="440" w:lineRule="atLeast"/>
        <w:textAlignment w:val="auto"/>
        <w:rPr>
          <w:rFonts w:ascii="宋体" w:hAnsi="宋体" w:cs="宋体"/>
          <w:sz w:val="24"/>
          <w:szCs w:val="24"/>
          <w:highlight w:val="none"/>
        </w:rPr>
      </w:pPr>
      <w:bookmarkStart w:id="174" w:name="_Toc17274_WPSOffice_Level2"/>
      <w:r>
        <w:rPr>
          <w:rFonts w:hint="eastAsia" w:ascii="宋体" w:hAnsi="宋体" w:cs="宋体"/>
          <w:sz w:val="24"/>
          <w:szCs w:val="24"/>
          <w:highlight w:val="none"/>
        </w:rPr>
        <w:t>焊缝外观检验。外观必须进行100％的质检，</w:t>
      </w:r>
      <w:r>
        <w:rPr>
          <w:rFonts w:hint="eastAsia" w:ascii="宋体" w:hAnsi="宋体" w:eastAsia="宋体" w:cs="宋体"/>
          <w:kern w:val="0"/>
          <w:sz w:val="24"/>
          <w:szCs w:val="24"/>
          <w:highlight w:val="none"/>
        </w:rPr>
        <w:t>不允许存在表面裂纹，夹渣，气孔及未熔合未焊透等缺陷，并且咬边深度不得大于焊缝厚道的10％，焊缝余高不得大于2mm</w:t>
      </w:r>
      <w:r>
        <w:rPr>
          <w:rFonts w:hint="eastAsia" w:ascii="宋体" w:hAnsi="宋体" w:cs="宋体"/>
          <w:sz w:val="24"/>
          <w:szCs w:val="24"/>
          <w:highlight w:val="none"/>
        </w:rPr>
        <w:t>。</w:t>
      </w:r>
    </w:p>
    <w:p>
      <w:pPr>
        <w:numPr>
          <w:ilvl w:val="0"/>
          <w:numId w:val="44"/>
        </w:numPr>
        <w:kinsoku w:val="0"/>
        <w:overflowPunct w:val="0"/>
        <w:autoSpaceDE/>
        <w:autoSpaceDN/>
        <w:snapToGrid w:val="0"/>
        <w:spacing w:line="440" w:lineRule="atLeast"/>
        <w:textAlignment w:val="auto"/>
        <w:rPr>
          <w:rFonts w:ascii="宋体" w:hAnsi="宋体" w:cs="宋体"/>
          <w:b w:val="0"/>
          <w:bCs w:val="0"/>
          <w:sz w:val="24"/>
          <w:szCs w:val="24"/>
          <w:highlight w:val="none"/>
        </w:rPr>
      </w:pPr>
      <w:r>
        <w:rPr>
          <w:rFonts w:hint="eastAsia" w:ascii="宋体" w:hAnsi="宋体" w:cs="宋体"/>
          <w:b w:val="0"/>
          <w:bCs w:val="0"/>
          <w:sz w:val="24"/>
          <w:szCs w:val="24"/>
          <w:highlight w:val="none"/>
        </w:rPr>
        <w:t>管道焊缝采用射线检测，探伤比例100%</w:t>
      </w:r>
      <w:r>
        <w:rPr>
          <w:rFonts w:hint="eastAsia" w:ascii="宋体" w:hAnsi="宋体" w:cs="宋体"/>
          <w:b w:val="0"/>
          <w:bCs w:val="0"/>
          <w:sz w:val="24"/>
          <w:szCs w:val="24"/>
          <w:highlight w:val="none"/>
          <w:lang w:eastAsia="zh-CN"/>
        </w:rPr>
        <w:t>。</w:t>
      </w:r>
      <w:r>
        <w:rPr>
          <w:rFonts w:hint="eastAsia" w:ascii="宋体" w:hAnsi="宋体" w:eastAsia="宋体" w:cs="宋体"/>
          <w:b w:val="0"/>
          <w:bCs w:val="0"/>
          <w:kern w:val="0"/>
          <w:sz w:val="24"/>
          <w:szCs w:val="24"/>
          <w:highlight w:val="none"/>
        </w:rPr>
        <w:t>检测标准不得小于现行国家标准NB/T47013-2015《承压设备无损检测》规定的质量要求</w:t>
      </w:r>
      <w:r>
        <w:rPr>
          <w:rFonts w:hint="eastAsia" w:ascii="宋体" w:hAnsi="宋体" w:cs="宋体"/>
          <w:b w:val="0"/>
          <w:bCs w:val="0"/>
          <w:kern w:val="0"/>
          <w:sz w:val="24"/>
          <w:szCs w:val="24"/>
          <w:highlight w:val="none"/>
          <w:lang w:val="en-US" w:eastAsia="zh-CN"/>
        </w:rPr>
        <w:t>。</w:t>
      </w:r>
      <w:r>
        <w:rPr>
          <w:rFonts w:hint="eastAsia" w:ascii="宋体" w:hAnsi="宋体" w:eastAsia="宋体" w:cs="宋体"/>
          <w:b w:val="0"/>
          <w:bCs w:val="0"/>
          <w:kern w:val="0"/>
          <w:sz w:val="24"/>
          <w:szCs w:val="24"/>
          <w:highlight w:val="none"/>
        </w:rPr>
        <w:t>锅炉受压部件焊接接头的射线检测技术等级不低于AB级，焊接接头质量等级不低于Ⅱ级</w:t>
      </w:r>
      <w:r>
        <w:rPr>
          <w:rFonts w:hint="eastAsia" w:ascii="宋体" w:hAnsi="宋体" w:cs="宋体"/>
          <w:b w:val="0"/>
          <w:bCs w:val="0"/>
          <w:sz w:val="24"/>
          <w:szCs w:val="24"/>
          <w:highlight w:val="none"/>
        </w:rPr>
        <w:t>。</w:t>
      </w:r>
    </w:p>
    <w:p>
      <w:pPr>
        <w:numPr>
          <w:ilvl w:val="0"/>
          <w:numId w:val="44"/>
        </w:numPr>
        <w:kinsoku w:val="0"/>
        <w:overflowPunct w:val="0"/>
        <w:autoSpaceDE/>
        <w:autoSpaceDN/>
        <w:snapToGrid w:val="0"/>
        <w:spacing w:line="440" w:lineRule="atLeast"/>
        <w:textAlignment w:val="auto"/>
        <w:rPr>
          <w:rFonts w:ascii="宋体" w:hAnsi="宋体" w:cs="宋体"/>
          <w:sz w:val="24"/>
          <w:szCs w:val="24"/>
          <w:highlight w:val="none"/>
        </w:rPr>
      </w:pPr>
      <w:r>
        <w:rPr>
          <w:rFonts w:hint="eastAsia" w:ascii="宋体" w:hAnsi="宋体" w:eastAsia="宋体" w:cs="宋体"/>
          <w:bCs/>
          <w:kern w:val="0"/>
          <w:sz w:val="24"/>
          <w:szCs w:val="24"/>
          <w:highlight w:val="none"/>
        </w:rPr>
        <w:t>合金钢材料的焊接需严格按照</w:t>
      </w:r>
      <w:r>
        <w:rPr>
          <w:rFonts w:hint="eastAsia" w:ascii="宋体" w:hAnsi="宋体"/>
          <w:sz w:val="24"/>
          <w:szCs w:val="24"/>
          <w:highlight w:val="none"/>
        </w:rPr>
        <w:t>D</w:t>
      </w:r>
      <w:r>
        <w:rPr>
          <w:rFonts w:ascii="宋体" w:hAnsi="宋体"/>
          <w:sz w:val="24"/>
          <w:szCs w:val="24"/>
          <w:highlight w:val="none"/>
        </w:rPr>
        <w:t>L/T869</w:t>
      </w:r>
      <w:r>
        <w:rPr>
          <w:rFonts w:hint="eastAsia" w:ascii="宋体" w:hAnsi="宋体"/>
          <w:sz w:val="24"/>
          <w:szCs w:val="24"/>
          <w:highlight w:val="none"/>
        </w:rPr>
        <w:t>《火力发电厂焊接</w:t>
      </w:r>
      <w:r>
        <w:rPr>
          <w:rFonts w:hint="eastAsia" w:ascii="宋体" w:hAnsi="宋体"/>
          <w:sz w:val="24"/>
          <w:szCs w:val="24"/>
          <w:highlight w:val="none"/>
          <w:lang w:val="en-US" w:eastAsia="zh-CN"/>
        </w:rPr>
        <w:t>热处理</w:t>
      </w:r>
      <w:r>
        <w:rPr>
          <w:rFonts w:hint="eastAsia" w:ascii="宋体" w:hAnsi="宋体"/>
          <w:sz w:val="24"/>
          <w:szCs w:val="24"/>
          <w:highlight w:val="none"/>
        </w:rPr>
        <w:t>技术规程》</w:t>
      </w:r>
      <w:r>
        <w:rPr>
          <w:rFonts w:hint="eastAsia" w:ascii="宋体" w:hAnsi="宋体"/>
          <w:sz w:val="24"/>
          <w:szCs w:val="24"/>
          <w:highlight w:val="none"/>
          <w:lang w:eastAsia="zh-CN"/>
        </w:rPr>
        <w:t>、</w:t>
      </w:r>
      <w:r>
        <w:rPr>
          <w:rFonts w:hint="eastAsia" w:ascii="宋体" w:hAnsi="宋体"/>
          <w:sz w:val="24"/>
          <w:szCs w:val="24"/>
          <w:highlight w:val="none"/>
        </w:rPr>
        <w:t>D</w:t>
      </w:r>
      <w:r>
        <w:rPr>
          <w:rFonts w:ascii="宋体" w:hAnsi="宋体"/>
          <w:sz w:val="24"/>
          <w:szCs w:val="24"/>
          <w:highlight w:val="none"/>
        </w:rPr>
        <w:t>L/T</w:t>
      </w:r>
      <w:r>
        <w:rPr>
          <w:rFonts w:hint="eastAsia" w:ascii="宋体" w:hAnsi="宋体"/>
          <w:sz w:val="24"/>
          <w:szCs w:val="24"/>
          <w:highlight w:val="none"/>
          <w:lang w:val="en-US" w:eastAsia="zh-CN"/>
        </w:rPr>
        <w:t>752</w:t>
      </w:r>
      <w:r>
        <w:rPr>
          <w:rFonts w:hint="eastAsia" w:ascii="宋体" w:hAnsi="宋体"/>
          <w:sz w:val="24"/>
          <w:szCs w:val="24"/>
          <w:highlight w:val="none"/>
        </w:rPr>
        <w:t>《火力发电厂</w:t>
      </w:r>
      <w:r>
        <w:rPr>
          <w:rFonts w:hint="eastAsia" w:ascii="宋体" w:hAnsi="宋体"/>
          <w:sz w:val="24"/>
          <w:szCs w:val="24"/>
          <w:highlight w:val="none"/>
          <w:lang w:val="en-US" w:eastAsia="zh-CN"/>
        </w:rPr>
        <w:t>异种钢</w:t>
      </w:r>
      <w:r>
        <w:rPr>
          <w:rFonts w:hint="eastAsia" w:ascii="宋体" w:hAnsi="宋体"/>
          <w:sz w:val="24"/>
          <w:szCs w:val="24"/>
          <w:highlight w:val="none"/>
        </w:rPr>
        <w:t>焊接技术规程》</w:t>
      </w:r>
      <w:r>
        <w:rPr>
          <w:rFonts w:hint="eastAsia" w:ascii="宋体" w:hAnsi="宋体" w:eastAsia="宋体" w:cs="宋体"/>
          <w:bCs/>
          <w:kern w:val="0"/>
          <w:sz w:val="24"/>
          <w:szCs w:val="24"/>
          <w:highlight w:val="none"/>
        </w:rPr>
        <w:t>的规定进行光谱检查、焊后热处理及硬度检验</w:t>
      </w:r>
      <w:r>
        <w:rPr>
          <w:rFonts w:hint="eastAsia" w:ascii="宋体" w:hAnsi="宋体" w:cs="宋体"/>
          <w:sz w:val="24"/>
          <w:szCs w:val="24"/>
          <w:highlight w:val="none"/>
          <w:lang w:val="en-US" w:eastAsia="zh-CN"/>
        </w:rPr>
        <w:t>。</w:t>
      </w:r>
    </w:p>
    <w:p>
      <w:pPr>
        <w:numPr>
          <w:ilvl w:val="0"/>
          <w:numId w:val="44"/>
        </w:numPr>
        <w:kinsoku w:val="0"/>
        <w:overflowPunct w:val="0"/>
        <w:autoSpaceDE/>
        <w:autoSpaceDN/>
        <w:snapToGrid w:val="0"/>
        <w:spacing w:line="440" w:lineRule="atLeast"/>
        <w:textAlignment w:val="auto"/>
        <w:rPr>
          <w:rFonts w:ascii="宋体" w:hAnsi="宋体" w:cs="宋体"/>
          <w:b/>
          <w:bCs w:val="0"/>
          <w:sz w:val="24"/>
          <w:szCs w:val="24"/>
          <w:highlight w:val="none"/>
        </w:rPr>
      </w:pPr>
      <w:r>
        <w:rPr>
          <w:rFonts w:hint="eastAsia" w:ascii="宋体" w:hAnsi="宋体" w:eastAsia="宋体" w:cs="宋体"/>
          <w:b/>
          <w:bCs w:val="0"/>
          <w:kern w:val="0"/>
          <w:sz w:val="24"/>
          <w:szCs w:val="24"/>
          <w:highlight w:val="none"/>
        </w:rPr>
        <w:t>本维修项目需申报监检，项目完工，经厦门市特种设备检验检测院检验合格，并出具相关监检合格报告</w:t>
      </w:r>
      <w:r>
        <w:rPr>
          <w:rFonts w:hint="eastAsia" w:ascii="宋体" w:hAnsi="宋体" w:cs="宋体"/>
          <w:b/>
          <w:bCs w:val="0"/>
          <w:sz w:val="24"/>
          <w:szCs w:val="24"/>
          <w:highlight w:val="none"/>
          <w:lang w:eastAsia="zh-CN"/>
        </w:rPr>
        <w:t>。</w:t>
      </w:r>
    </w:p>
    <w:bookmarkEnd w:id="174"/>
    <w:p>
      <w:pPr>
        <w:numPr>
          <w:ilvl w:val="0"/>
          <w:numId w:val="0"/>
        </w:numPr>
        <w:tabs>
          <w:tab w:val="left" w:pos="0"/>
        </w:tabs>
        <w:kinsoku w:val="0"/>
        <w:overflowPunct w:val="0"/>
        <w:autoSpaceDE/>
        <w:autoSpaceDN/>
        <w:snapToGrid w:val="0"/>
        <w:spacing w:line="440" w:lineRule="atLeast"/>
        <w:ind w:leftChars="0"/>
        <w:textAlignment w:val="auto"/>
        <w:rPr>
          <w:rFonts w:hint="default" w:ascii="宋体" w:hAnsi="宋体" w:cs="宋体"/>
          <w:sz w:val="24"/>
          <w:szCs w:val="24"/>
          <w:highlight w:val="none"/>
          <w:lang w:val="en-US"/>
        </w:rPr>
      </w:pPr>
      <w:bookmarkStart w:id="175" w:name="_Toc9524_WPSOffice_Level2"/>
      <w:r>
        <w:rPr>
          <w:rFonts w:hint="eastAsia" w:ascii="宋体" w:hAnsi="宋体" w:cs="宋体"/>
          <w:sz w:val="24"/>
          <w:szCs w:val="24"/>
          <w:highlight w:val="none"/>
          <w:lang w:val="en-US" w:eastAsia="zh-CN"/>
        </w:rPr>
        <w:t>5.4</w:t>
      </w:r>
      <w:bookmarkEnd w:id="175"/>
      <w:bookmarkStart w:id="176" w:name="_Toc6599_WPSOffice_Level2"/>
      <w:r>
        <w:rPr>
          <w:rFonts w:hint="eastAsia" w:ascii="宋体" w:hAnsi="宋体" w:cs="宋体"/>
          <w:sz w:val="24"/>
          <w:szCs w:val="24"/>
          <w:highlight w:val="none"/>
          <w:lang w:val="en-US" w:eastAsia="zh-CN"/>
        </w:rPr>
        <w:t>支吊架的安装恢复</w:t>
      </w:r>
    </w:p>
    <w:p>
      <w:pPr>
        <w:numPr>
          <w:ilvl w:val="0"/>
          <w:numId w:val="45"/>
        </w:numPr>
        <w:kinsoku w:val="0"/>
        <w:overflowPunct w:val="0"/>
        <w:autoSpaceDE/>
        <w:autoSpaceDN/>
        <w:snapToGrid w:val="0"/>
        <w:spacing w:line="440" w:lineRule="atLeast"/>
        <w:textAlignment w:val="auto"/>
        <w:rPr>
          <w:rFonts w:ascii="宋体" w:hAnsi="宋体" w:cs="宋体"/>
          <w:sz w:val="24"/>
          <w:szCs w:val="24"/>
          <w:highlight w:val="none"/>
        </w:rPr>
      </w:pPr>
      <w:r>
        <w:rPr>
          <w:rFonts w:hint="eastAsia" w:ascii="宋体" w:hAnsi="宋体" w:cs="宋体"/>
          <w:sz w:val="24"/>
          <w:szCs w:val="24"/>
          <w:highlight w:val="none"/>
        </w:rPr>
        <w:t>所有管道安装完成</w:t>
      </w:r>
      <w:r>
        <w:rPr>
          <w:rFonts w:hint="eastAsia" w:ascii="宋体" w:hAnsi="宋体" w:eastAsia="宋体" w:cs="宋体"/>
          <w:kern w:val="0"/>
          <w:sz w:val="24"/>
          <w:szCs w:val="24"/>
          <w:highlight w:val="none"/>
        </w:rPr>
        <w:t>应立刻进行支吊架的安装完善，在完善支吊架时应再次复查管道中心线、标高、坡度符合设计</w:t>
      </w:r>
      <w:r>
        <w:rPr>
          <w:rFonts w:hint="eastAsia" w:ascii="宋体" w:hAnsi="宋体" w:eastAsia="宋体" w:cs="宋体"/>
          <w:kern w:val="0"/>
          <w:sz w:val="24"/>
          <w:szCs w:val="24"/>
          <w:highlight w:val="none"/>
          <w:lang w:val="en-US" w:eastAsia="zh-CN"/>
        </w:rPr>
        <w:t>图纸</w:t>
      </w:r>
      <w:r>
        <w:rPr>
          <w:rFonts w:hint="eastAsia" w:ascii="宋体" w:hAnsi="宋体" w:eastAsia="宋体" w:cs="宋体"/>
          <w:kern w:val="0"/>
          <w:sz w:val="24"/>
          <w:szCs w:val="24"/>
          <w:highlight w:val="none"/>
        </w:rPr>
        <w:t>要求，支吊架偏装严格按设计偏装值进行</w:t>
      </w:r>
      <w:r>
        <w:rPr>
          <w:rFonts w:hint="eastAsia" w:ascii="宋体" w:hAnsi="宋体" w:cs="宋体"/>
          <w:sz w:val="24"/>
          <w:szCs w:val="24"/>
          <w:highlight w:val="none"/>
        </w:rPr>
        <w:t>。</w:t>
      </w:r>
      <w:bookmarkEnd w:id="176"/>
    </w:p>
    <w:p>
      <w:pPr>
        <w:numPr>
          <w:ilvl w:val="0"/>
          <w:numId w:val="0"/>
        </w:numPr>
        <w:tabs>
          <w:tab w:val="left" w:pos="0"/>
        </w:tabs>
        <w:kinsoku w:val="0"/>
        <w:overflowPunct w:val="0"/>
        <w:autoSpaceDE/>
        <w:autoSpaceDN/>
        <w:snapToGrid w:val="0"/>
        <w:spacing w:line="440" w:lineRule="atLeast"/>
        <w:ind w:left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5.5 </w:t>
      </w:r>
      <w:r>
        <w:rPr>
          <w:rFonts w:hint="eastAsia" w:ascii="宋体" w:hAnsi="宋体" w:cs="宋体"/>
          <w:sz w:val="24"/>
          <w:szCs w:val="24"/>
          <w:highlight w:val="none"/>
        </w:rPr>
        <w:t>管道试验</w:t>
      </w:r>
    </w:p>
    <w:p>
      <w:pPr>
        <w:numPr>
          <w:ilvl w:val="0"/>
          <w:numId w:val="0"/>
        </w:numPr>
        <w:tabs>
          <w:tab w:val="left" w:pos="0"/>
        </w:tabs>
        <w:kinsoku w:val="0"/>
        <w:overflowPunct w:val="0"/>
        <w:autoSpaceDE/>
        <w:autoSpaceDN/>
        <w:snapToGrid w:val="0"/>
        <w:spacing w:line="440" w:lineRule="atLeast"/>
        <w:ind w:leftChars="0"/>
        <w:textAlignment w:val="auto"/>
        <w:rPr>
          <w:rFonts w:ascii="宋体" w:hAnsi="宋体" w:cs="宋体"/>
          <w:b/>
          <w:bCs/>
          <w:sz w:val="24"/>
          <w:szCs w:val="24"/>
          <w:highlight w:val="none"/>
        </w:rPr>
      </w:pPr>
      <w:r>
        <w:rPr>
          <w:rFonts w:hint="eastAsia" w:ascii="宋体" w:hAnsi="宋体" w:cs="宋体"/>
          <w:b/>
          <w:bCs/>
          <w:sz w:val="24"/>
          <w:szCs w:val="24"/>
          <w:highlight w:val="none"/>
        </w:rPr>
        <w:t xml:space="preserve">管道更换完毕，各焊缝无损检测合格，根据检验需求，进行施工范围内管道水压试验，以全面检查各承压部件是否正常。按TSG </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-20</w:t>
      </w:r>
      <w:r>
        <w:rPr>
          <w:rFonts w:hint="eastAsia" w:ascii="宋体" w:hAnsi="宋体" w:cs="宋体"/>
          <w:b/>
          <w:bCs/>
          <w:sz w:val="24"/>
          <w:szCs w:val="24"/>
          <w:highlight w:val="none"/>
          <w:lang w:val="en-US" w:eastAsia="zh-CN"/>
        </w:rPr>
        <w:t>20</w:t>
      </w:r>
      <w:r>
        <w:rPr>
          <w:rFonts w:hint="eastAsia" w:ascii="宋体" w:hAnsi="宋体" w:cs="宋体"/>
          <w:b/>
          <w:bCs/>
          <w:sz w:val="24"/>
          <w:szCs w:val="24"/>
          <w:highlight w:val="none"/>
        </w:rPr>
        <w:t>《锅炉安全技术规程》有关规定执行，并通过特种设备检验机构验收合格。</w:t>
      </w:r>
    </w:p>
    <w:p>
      <w:pPr>
        <w:numPr>
          <w:ilvl w:val="0"/>
          <w:numId w:val="0"/>
        </w:numPr>
        <w:tabs>
          <w:tab w:val="left" w:pos="0"/>
        </w:tabs>
        <w:kinsoku w:val="0"/>
        <w:overflowPunct w:val="0"/>
        <w:autoSpaceDE/>
        <w:autoSpaceDN/>
        <w:snapToGrid w:val="0"/>
        <w:spacing w:line="440" w:lineRule="atLeast"/>
        <w:ind w:leftChars="0"/>
        <w:textAlignment w:val="auto"/>
        <w:rPr>
          <w:rFonts w:ascii="宋体" w:hAnsi="宋体" w:cs="宋体"/>
          <w:b w:val="0"/>
          <w:bCs/>
          <w:sz w:val="24"/>
          <w:szCs w:val="24"/>
          <w:highlight w:val="none"/>
        </w:rPr>
      </w:pPr>
      <w:r>
        <w:rPr>
          <w:rFonts w:hint="eastAsia" w:ascii="宋体" w:hAnsi="宋体" w:cs="宋体"/>
          <w:b w:val="0"/>
          <w:bCs/>
          <w:kern w:val="2"/>
          <w:sz w:val="24"/>
          <w:szCs w:val="24"/>
          <w:highlight w:val="none"/>
          <w:lang w:val="en-US" w:eastAsia="zh-CN"/>
        </w:rPr>
        <w:t xml:space="preserve">5.6 </w:t>
      </w:r>
      <w:r>
        <w:rPr>
          <w:rFonts w:hint="eastAsia" w:ascii="宋体" w:hAnsi="宋体" w:cs="宋体"/>
          <w:b w:val="0"/>
          <w:bCs/>
          <w:kern w:val="2"/>
          <w:sz w:val="24"/>
          <w:szCs w:val="24"/>
          <w:highlight w:val="none"/>
        </w:rPr>
        <w:t>保温技术要求</w:t>
      </w:r>
    </w:p>
    <w:p>
      <w:pPr>
        <w:numPr>
          <w:ilvl w:val="0"/>
          <w:numId w:val="0"/>
        </w:numPr>
        <w:tabs>
          <w:tab w:val="left" w:pos="0"/>
        </w:tabs>
        <w:kinsoku w:val="0"/>
        <w:overflowPunct w:val="0"/>
        <w:autoSpaceDE/>
        <w:autoSpaceDN/>
        <w:snapToGrid w:val="0"/>
        <w:spacing w:line="400" w:lineRule="exact"/>
        <w:jc w:val="left"/>
        <w:textAlignment w:val="auto"/>
        <w:rPr>
          <w:rFonts w:hint="eastAsia" w:ascii="宋体" w:hAnsi="宋体" w:eastAsia="宋体" w:cs="Times New Roman"/>
          <w:b w:val="0"/>
          <w:bCs/>
          <w:color w:val="auto"/>
          <w:sz w:val="24"/>
          <w:szCs w:val="24"/>
          <w:highlight w:val="none"/>
        </w:rPr>
      </w:pPr>
      <w:r>
        <w:rPr>
          <w:rFonts w:hint="eastAsia" w:ascii="宋体" w:hAnsi="宋体" w:cs="宋体"/>
          <w:b w:val="0"/>
          <w:bCs/>
          <w:kern w:val="2"/>
          <w:sz w:val="24"/>
          <w:szCs w:val="24"/>
          <w:highlight w:val="none"/>
        </w:rPr>
        <w:t>5.6.1</w:t>
      </w:r>
      <w:r>
        <w:rPr>
          <w:rFonts w:hint="eastAsia" w:ascii="宋体" w:hAnsi="宋体" w:eastAsia="宋体" w:cs="Times New Roman"/>
          <w:b w:val="0"/>
          <w:bCs/>
          <w:color w:val="auto"/>
          <w:sz w:val="24"/>
          <w:szCs w:val="24"/>
          <w:highlight w:val="none"/>
          <w:lang w:val="en-US" w:eastAsia="zh-CN"/>
        </w:rPr>
        <w:t>保温施工厚度偏差必须满足《工业设备及管道绝热工程施工质量验收规范》GB 50185-2010的相关要求。</w:t>
      </w:r>
    </w:p>
    <w:p>
      <w:pPr>
        <w:tabs>
          <w:tab w:val="left" w:pos="0"/>
        </w:tabs>
        <w:kinsoku w:val="0"/>
        <w:overflowPunct w:val="0"/>
        <w:autoSpaceDE/>
        <w:autoSpaceDN/>
        <w:snapToGrid w:val="0"/>
        <w:spacing w:line="440" w:lineRule="atLeast"/>
        <w:textAlignment w:val="auto"/>
        <w:rPr>
          <w:rFonts w:ascii="宋体" w:hAnsi="宋体" w:cs="宋体"/>
          <w:b/>
          <w:bCs w:val="0"/>
          <w:kern w:val="2"/>
          <w:sz w:val="24"/>
          <w:szCs w:val="24"/>
          <w:highlight w:val="none"/>
        </w:rPr>
      </w:pPr>
      <w:r>
        <w:rPr>
          <w:rFonts w:hint="eastAsia" w:ascii="宋体" w:hAnsi="宋体" w:cs="宋体"/>
          <w:b/>
          <w:bCs w:val="0"/>
          <w:kern w:val="2"/>
          <w:sz w:val="24"/>
          <w:szCs w:val="24"/>
          <w:highlight w:val="none"/>
          <w:lang w:val="en-US" w:eastAsia="zh-CN"/>
        </w:rPr>
        <w:t>5.6.2</w:t>
      </w:r>
      <w:r>
        <w:rPr>
          <w:rFonts w:hint="eastAsia" w:ascii="宋体" w:hAnsi="宋体" w:cs="宋体"/>
          <w:b/>
          <w:bCs w:val="0"/>
          <w:kern w:val="2"/>
          <w:sz w:val="24"/>
          <w:szCs w:val="24"/>
          <w:highlight w:val="none"/>
        </w:rPr>
        <w:t>本项目保温材料选用硅酸铝针刺毯，</w:t>
      </w:r>
      <w:r>
        <w:rPr>
          <w:rFonts w:ascii="宋体" w:hAnsi="Calibri" w:cs="宋体"/>
          <w:b/>
          <w:bCs w:val="0"/>
          <w:color w:val="000000"/>
          <w:sz w:val="24"/>
          <w:szCs w:val="24"/>
          <w:highlight w:val="none"/>
        </w:rPr>
        <w:t>给水管道、减温水管道、再循环水管</w:t>
      </w:r>
      <w:r>
        <w:rPr>
          <w:rFonts w:hint="eastAsia" w:ascii="宋体" w:hAnsi="Calibri" w:cs="宋体"/>
          <w:b/>
          <w:bCs w:val="0"/>
          <w:color w:val="000000"/>
          <w:sz w:val="24"/>
          <w:szCs w:val="24"/>
          <w:highlight w:val="none"/>
          <w:lang w:eastAsia="zh-CN"/>
        </w:rPr>
        <w:t>、</w:t>
      </w:r>
      <w:r>
        <w:rPr>
          <w:rFonts w:hint="eastAsia" w:ascii="宋体" w:hAnsi="Calibri" w:cs="宋体"/>
          <w:b/>
          <w:bCs w:val="0"/>
          <w:color w:val="000000"/>
          <w:sz w:val="24"/>
          <w:szCs w:val="24"/>
          <w:highlight w:val="none"/>
          <w:lang w:val="en-US" w:eastAsia="zh-CN"/>
        </w:rPr>
        <w:t>疏水阀及其管道</w:t>
      </w:r>
      <w:r>
        <w:rPr>
          <w:rFonts w:hint="eastAsia" w:ascii="宋体" w:hAnsi="Calibri" w:cs="宋体"/>
          <w:b/>
          <w:bCs w:val="0"/>
          <w:color w:val="000000"/>
          <w:sz w:val="24"/>
          <w:szCs w:val="24"/>
          <w:highlight w:val="none"/>
        </w:rPr>
        <w:t>安装保温前先刷涂一层高温漆再进行保温施工，</w:t>
      </w:r>
      <w:r>
        <w:rPr>
          <w:rFonts w:hint="eastAsia" w:ascii="宋体" w:hAnsi="宋体" w:cs="宋体"/>
          <w:b/>
          <w:bCs w:val="0"/>
          <w:kern w:val="2"/>
          <w:sz w:val="24"/>
          <w:szCs w:val="24"/>
          <w:highlight w:val="none"/>
        </w:rPr>
        <w:t>保温层外包裹反射层，外加</w:t>
      </w:r>
      <w:r>
        <w:rPr>
          <w:rFonts w:hint="eastAsia" w:ascii="宋体" w:hAnsi="宋体" w:cs="宋体"/>
          <w:b/>
          <w:bCs w:val="0"/>
          <w:kern w:val="2"/>
          <w:sz w:val="24"/>
          <w:szCs w:val="24"/>
          <w:highlight w:val="none"/>
          <w:lang w:val="en-US" w:eastAsia="zh-CN"/>
        </w:rPr>
        <w:t>0.5mm铝板</w:t>
      </w:r>
      <w:r>
        <w:rPr>
          <w:rFonts w:hint="eastAsia" w:ascii="宋体" w:hAnsi="宋体" w:cs="宋体"/>
          <w:b/>
          <w:bCs w:val="0"/>
          <w:kern w:val="2"/>
          <w:sz w:val="24"/>
          <w:szCs w:val="24"/>
          <w:highlight w:val="none"/>
        </w:rPr>
        <w:t>保护层。</w:t>
      </w:r>
    </w:p>
    <w:p>
      <w:pPr>
        <w:tabs>
          <w:tab w:val="left" w:pos="0"/>
        </w:tabs>
        <w:autoSpaceDE/>
        <w:autoSpaceDN/>
        <w:snapToGrid w:val="0"/>
        <w:spacing w:after="120" w:afterLines="50" w:line="400" w:lineRule="atLeast"/>
        <w:ind w:right="105" w:rightChars="50"/>
        <w:jc w:val="center"/>
        <w:textAlignment w:val="auto"/>
        <w:rPr>
          <w:rFonts w:hint="eastAsia" w:ascii="宋体" w:hAnsi="宋体"/>
          <w:sz w:val="24"/>
          <w:szCs w:val="24"/>
          <w:highlight w:val="none"/>
        </w:rPr>
      </w:pPr>
      <w:r>
        <w:rPr>
          <w:rFonts w:hint="eastAsia" w:ascii="宋体" w:hAnsi="宋体"/>
          <w:sz w:val="24"/>
          <w:szCs w:val="24"/>
          <w:highlight w:val="none"/>
        </w:rPr>
        <w:t>硅酸铝针刺毯主要技术要求</w:t>
      </w:r>
    </w:p>
    <w:tbl>
      <w:tblPr>
        <w:tblStyle w:val="31"/>
        <w:tblpPr w:leftFromText="180" w:rightFromText="180" w:vertAnchor="text" w:horzAnchor="page" w:tblpX="1934" w:tblpY="28"/>
        <w:tblOverlap w:val="never"/>
        <w:tblW w:w="43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9"/>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2"/>
              <w:jc w:val="center"/>
              <w:rPr>
                <w:rFonts w:hint="eastAsia" w:ascii="宋体" w:hAnsi="宋体" w:cs="宋体"/>
                <w:b/>
                <w:sz w:val="24"/>
                <w:szCs w:val="24"/>
                <w:highlight w:val="none"/>
              </w:rPr>
            </w:pPr>
            <w:r>
              <w:rPr>
                <w:rFonts w:hint="eastAsia" w:ascii="宋体" w:hAnsi="宋体" w:cs="宋体"/>
                <w:b/>
                <w:sz w:val="24"/>
                <w:szCs w:val="24"/>
                <w:highlight w:val="none"/>
              </w:rPr>
              <w:t>项 目</w:t>
            </w:r>
          </w:p>
        </w:tc>
        <w:tc>
          <w:tcPr>
            <w:tcW w:w="1156" w:type="pct"/>
            <w:noWrap w:val="0"/>
            <w:vAlign w:val="center"/>
          </w:tcPr>
          <w:p>
            <w:pPr>
              <w:snapToGrid w:val="0"/>
              <w:spacing w:line="400" w:lineRule="atLeast"/>
              <w:ind w:firstLine="0"/>
              <w:jc w:val="center"/>
              <w:rPr>
                <w:rFonts w:hint="eastAsia" w:ascii="宋体" w:hAnsi="宋体" w:cs="宋体"/>
                <w:b/>
                <w:sz w:val="24"/>
                <w:szCs w:val="24"/>
                <w:highlight w:val="none"/>
              </w:rPr>
            </w:pPr>
            <w:r>
              <w:rPr>
                <w:rFonts w:hint="eastAsia" w:ascii="宋体" w:hAnsi="宋体" w:cs="宋体"/>
                <w:b/>
                <w:sz w:val="24"/>
                <w:szCs w:val="24"/>
                <w:highlight w:val="none"/>
              </w:rPr>
              <w:t>设计要求值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理论体积密度（kg/m³）</w:t>
            </w:r>
          </w:p>
        </w:tc>
        <w:tc>
          <w:tcPr>
            <w:tcW w:w="1156" w:type="pct"/>
            <w:noWrap w:val="0"/>
            <w:vAlign w:val="center"/>
          </w:tcPr>
          <w:p>
            <w:pPr>
              <w:snapToGrid w:val="0"/>
              <w:spacing w:line="400" w:lineRule="atLeast"/>
              <w:ind w:firstLine="0" w:firstLineChars="0"/>
              <w:jc w:val="center"/>
              <w:rPr>
                <w:rFonts w:ascii="宋体" w:hAnsi="宋体" w:cs="宋体"/>
                <w:sz w:val="24"/>
                <w:szCs w:val="24"/>
                <w:highlight w:val="none"/>
              </w:rPr>
            </w:pPr>
            <w:r>
              <w:rPr>
                <w:rFonts w:hint="eastAsia" w:ascii="宋体" w:hAnsi="宋体" w:cs="宋体"/>
                <w:sz w:val="24"/>
                <w:szCs w:val="24"/>
                <w:highlight w:val="none"/>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加热永久线变化（1000℃·8h）（%）</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导热系数 W/(m·K)（平均温度500℃)</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2951" w:type="pct"/>
            <w:noWrap w:val="0"/>
            <w:vAlign w:val="bottom"/>
          </w:tcPr>
          <w:p>
            <w:pPr>
              <w:snapToGrid w:val="0"/>
              <w:spacing w:line="400" w:lineRule="atLeast"/>
              <w:rPr>
                <w:rFonts w:hint="eastAsia" w:ascii="宋体" w:hAnsi="宋体" w:cs="宋体"/>
                <w:sz w:val="24"/>
                <w:szCs w:val="24"/>
                <w:highlight w:val="none"/>
              </w:rPr>
            </w:pPr>
            <w:r>
              <w:rPr>
                <w:rFonts w:hint="eastAsia" w:ascii="宋体" w:hAnsi="宋体" w:cs="宋体"/>
                <w:sz w:val="24"/>
                <w:szCs w:val="24"/>
                <w:highlight w:val="none"/>
              </w:rPr>
              <w:t>抗拉强度（kPa）（厚度50mm）</w:t>
            </w:r>
          </w:p>
        </w:tc>
        <w:tc>
          <w:tcPr>
            <w:tcW w:w="892" w:type="pct"/>
            <w:noWrap w:val="0"/>
            <w:vAlign w:val="bottom"/>
          </w:tcPr>
          <w:p>
            <w:pPr>
              <w:snapToGrid w:val="0"/>
              <w:spacing w:line="400" w:lineRule="atLeast"/>
              <w:jc w:val="center"/>
              <w:rPr>
                <w:rFonts w:hint="eastAsia" w:ascii="宋体" w:hAnsi="宋体" w:cs="宋体"/>
                <w:sz w:val="24"/>
                <w:szCs w:val="24"/>
                <w:highlight w:val="none"/>
              </w:rPr>
            </w:pPr>
            <w:r>
              <w:rPr>
                <w:rFonts w:hint="eastAsia" w:ascii="宋体" w:hAnsi="宋体" w:cs="宋体"/>
                <w:sz w:val="24"/>
                <w:szCs w:val="24"/>
                <w:highlight w:val="none"/>
              </w:rPr>
              <w:t>96 kg/m</w:t>
            </w:r>
            <w:r>
              <w:rPr>
                <w:rFonts w:hint="eastAsia" w:ascii="宋体" w:hAnsi="宋体" w:cs="宋体"/>
                <w:sz w:val="24"/>
                <w:szCs w:val="24"/>
                <w:highlight w:val="none"/>
                <w:vertAlign w:val="superscript"/>
              </w:rPr>
              <w:t>3</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渣球含量(粒径大于0.21mm)</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氧化铝含量（Al</w:t>
            </w:r>
            <w:r>
              <w:rPr>
                <w:rFonts w:hint="eastAsia" w:ascii="宋体" w:hAnsi="宋体" w:cs="宋体"/>
                <w:sz w:val="24"/>
                <w:szCs w:val="24"/>
                <w:highlight w:val="none"/>
                <w:vertAlign w:val="subscript"/>
              </w:rPr>
              <w:t>2</w:t>
            </w:r>
            <w:r>
              <w:rPr>
                <w:rFonts w:hint="eastAsia" w:ascii="宋体" w:hAnsi="宋体" w:cs="宋体"/>
                <w:sz w:val="24"/>
                <w:szCs w:val="24"/>
                <w:highlight w:val="none"/>
              </w:rPr>
              <w:t>O</w:t>
            </w:r>
            <w:r>
              <w:rPr>
                <w:rFonts w:hint="eastAsia" w:ascii="宋体" w:hAnsi="宋体" w:cs="宋体"/>
                <w:sz w:val="24"/>
                <w:szCs w:val="24"/>
                <w:highlight w:val="none"/>
                <w:vertAlign w:val="subscript"/>
              </w:rPr>
              <w:t>3</w:t>
            </w:r>
            <w:r>
              <w:rPr>
                <w:rFonts w:hint="eastAsia" w:ascii="宋体" w:hAnsi="宋体" w:cs="宋体"/>
                <w:sz w:val="24"/>
                <w:szCs w:val="24"/>
                <w:highlight w:val="none"/>
              </w:rPr>
              <w:t>）%</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43" w:type="pct"/>
            <w:gridSpan w:val="2"/>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氧化铝＋二氧化硅含量%</w:t>
            </w:r>
          </w:p>
        </w:tc>
        <w:tc>
          <w:tcPr>
            <w:tcW w:w="1156" w:type="pct"/>
            <w:noWrap w:val="0"/>
            <w:vAlign w:val="center"/>
          </w:tcPr>
          <w:p>
            <w:pPr>
              <w:snapToGrid w:val="0"/>
              <w:spacing w:line="400" w:lineRule="atLeast"/>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00" w:type="pct"/>
            <w:gridSpan w:val="3"/>
            <w:noWrap w:val="0"/>
            <w:vAlign w:val="center"/>
          </w:tcPr>
          <w:p>
            <w:pPr>
              <w:snapToGrid w:val="0"/>
              <w:spacing w:line="400" w:lineRule="atLeast"/>
              <w:ind w:firstLine="420"/>
              <w:jc w:val="center"/>
              <w:rPr>
                <w:rFonts w:hint="eastAsia" w:ascii="宋体" w:hAnsi="宋体" w:cs="宋体"/>
                <w:sz w:val="24"/>
                <w:szCs w:val="24"/>
                <w:highlight w:val="none"/>
              </w:rPr>
            </w:pPr>
            <w:r>
              <w:rPr>
                <w:rFonts w:hint="eastAsia" w:ascii="宋体" w:hAnsi="宋体" w:cs="宋体"/>
                <w:sz w:val="24"/>
                <w:szCs w:val="24"/>
                <w:highlight w:val="none"/>
              </w:rPr>
              <w:t>憎水率≥93%</w:t>
            </w:r>
          </w:p>
        </w:tc>
      </w:tr>
    </w:tbl>
    <w:p>
      <w:pPr>
        <w:pStyle w:val="21"/>
        <w:rPr>
          <w:highlight w:val="none"/>
        </w:rPr>
      </w:pPr>
    </w:p>
    <w:p>
      <w:pPr>
        <w:pStyle w:val="72"/>
        <w:numPr>
          <w:ilvl w:val="0"/>
          <w:numId w:val="0"/>
        </w:numPr>
        <w:adjustRightInd w:val="0"/>
        <w:snapToGrid w:val="0"/>
        <w:spacing w:line="400" w:lineRule="atLeast"/>
        <w:ind w:leftChars="0"/>
        <w:jc w:val="left"/>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5.6.3</w:t>
      </w:r>
      <w:r>
        <w:rPr>
          <w:rFonts w:hint="eastAsia" w:ascii="宋体" w:hAnsi="宋体" w:cs="宋体"/>
          <w:b w:val="0"/>
          <w:bCs w:val="0"/>
          <w:sz w:val="24"/>
          <w:szCs w:val="22"/>
          <w:highlight w:val="none"/>
        </w:rPr>
        <w:t>耐高温铝箔玻纤布反射层主要要求：</w:t>
      </w:r>
      <w:r>
        <w:rPr>
          <w:rFonts w:hint="eastAsia" w:ascii="宋体" w:hAnsi="宋体" w:cs="宋体"/>
          <w:b w:val="0"/>
          <w:bCs w:val="0"/>
          <w:sz w:val="24"/>
          <w:szCs w:val="24"/>
          <w:highlight w:val="none"/>
        </w:rPr>
        <w:t>110±10g/m²。</w:t>
      </w:r>
    </w:p>
    <w:p>
      <w:pPr>
        <w:pStyle w:val="72"/>
        <w:numPr>
          <w:ilvl w:val="0"/>
          <w:numId w:val="0"/>
        </w:numPr>
        <w:adjustRightInd w:val="0"/>
        <w:snapToGrid w:val="0"/>
        <w:spacing w:line="400" w:lineRule="atLeast"/>
        <w:ind w:leftChars="0"/>
        <w:jc w:val="left"/>
        <w:rPr>
          <w:rFonts w:hint="eastAsia" w:ascii="宋体" w:hAnsi="宋体" w:cs="宋体"/>
          <w:b w:val="0"/>
          <w:bCs w:val="0"/>
          <w:sz w:val="24"/>
          <w:szCs w:val="22"/>
          <w:highlight w:val="none"/>
        </w:rPr>
      </w:pPr>
      <w:r>
        <w:rPr>
          <w:rFonts w:hint="eastAsia" w:ascii="宋体" w:hAnsi="宋体" w:cs="宋体"/>
          <w:b w:val="0"/>
          <w:bCs w:val="0"/>
          <w:sz w:val="24"/>
          <w:szCs w:val="24"/>
          <w:highlight w:val="none"/>
          <w:lang w:val="en-US" w:eastAsia="zh-CN"/>
        </w:rPr>
        <w:t>5.6.4</w:t>
      </w:r>
      <w:r>
        <w:rPr>
          <w:rFonts w:hint="eastAsia" w:ascii="宋体" w:hAnsi="宋体" w:cs="宋体"/>
          <w:b w:val="0"/>
          <w:bCs w:val="0"/>
          <w:sz w:val="24"/>
          <w:szCs w:val="22"/>
          <w:highlight w:val="none"/>
        </w:rPr>
        <w:t>铝板的主要技术要求</w:t>
      </w:r>
    </w:p>
    <w:p>
      <w:pPr>
        <w:pStyle w:val="72"/>
        <w:numPr>
          <w:ilvl w:val="0"/>
          <w:numId w:val="0"/>
        </w:numPr>
        <w:adjustRightInd w:val="0"/>
        <w:snapToGrid w:val="0"/>
        <w:spacing w:line="400" w:lineRule="atLeast"/>
        <w:ind w:leftChars="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5.6.4.1</w:t>
      </w:r>
      <w:r>
        <w:rPr>
          <w:rFonts w:hint="eastAsia" w:ascii="宋体" w:hAnsi="宋体" w:cs="宋体"/>
          <w:b w:val="0"/>
          <w:bCs w:val="0"/>
          <w:sz w:val="24"/>
          <w:szCs w:val="24"/>
          <w:highlight w:val="none"/>
        </w:rPr>
        <w:t>铝板应为正规厂商生产，每批供货包装需附有出厂日期、检验报告及合格证。</w:t>
      </w:r>
    </w:p>
    <w:p>
      <w:pPr>
        <w:pStyle w:val="72"/>
        <w:numPr>
          <w:ilvl w:val="0"/>
          <w:numId w:val="0"/>
        </w:numPr>
        <w:adjustRightInd w:val="0"/>
        <w:snapToGrid w:val="0"/>
        <w:spacing w:line="400" w:lineRule="atLeast"/>
        <w:ind w:leftChars="0"/>
        <w:jc w:val="left"/>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5.6.4.2</w:t>
      </w:r>
      <w:r>
        <w:rPr>
          <w:rFonts w:hint="eastAsia" w:ascii="宋体" w:hAnsi="宋体" w:cs="宋体"/>
          <w:b w:val="0"/>
          <w:bCs w:val="0"/>
          <w:sz w:val="24"/>
          <w:szCs w:val="24"/>
          <w:highlight w:val="none"/>
        </w:rPr>
        <w:t>铝板锻压制造应一次成型，表面不得有划伤、刮花、碰伤、裂纹、起泡、污点、凹凸不平、扭曲变形、沙眼、压痕、腐蚀等对使用有害的缺陷，不得有氧化现象。</w:t>
      </w:r>
    </w:p>
    <w:p>
      <w:pPr>
        <w:tabs>
          <w:tab w:val="left" w:pos="0"/>
        </w:tabs>
        <w:kinsoku w:val="0"/>
        <w:overflowPunct w:val="0"/>
        <w:autoSpaceDE/>
        <w:autoSpaceDN/>
        <w:snapToGrid w:val="0"/>
        <w:spacing w:line="440" w:lineRule="atLeast"/>
        <w:textAlignment w:val="auto"/>
        <w:rPr>
          <w:rFonts w:ascii="宋体" w:hAnsi="宋体" w:cs="宋体"/>
          <w:sz w:val="24"/>
          <w:szCs w:val="24"/>
          <w:highlight w:val="none"/>
        </w:rPr>
      </w:pPr>
      <w:r>
        <w:rPr>
          <w:rFonts w:hint="eastAsia" w:ascii="宋体" w:hAnsi="宋体" w:cs="宋体"/>
          <w:sz w:val="24"/>
          <w:szCs w:val="24"/>
          <w:highlight w:val="none"/>
        </w:rPr>
        <w:t>5.7其它要求详见施工图纸、设计说明和相关规范</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bookmarkStart w:id="177" w:name="_Toc26886_WPSOffice_Level2"/>
      <w:bookmarkStart w:id="178" w:name="_Toc3249_WPSOffice_Level2"/>
      <w:bookmarkStart w:id="179" w:name="_Toc21209_WPSOffice_Level2"/>
      <w:bookmarkStart w:id="180" w:name="_Toc1419_WPSOffice_Level2"/>
      <w:bookmarkStart w:id="181" w:name="_Toc30739_WPSOffice_Level2"/>
      <w:bookmarkStart w:id="182" w:name="_Toc3191_WPSOffice_Level1"/>
      <w:r>
        <w:rPr>
          <w:rFonts w:hint="eastAsia" w:ascii="宋体" w:hAnsi="Calibri" w:cs="宋体"/>
          <w:b/>
          <w:bCs/>
          <w:color w:val="000000"/>
          <w:sz w:val="24"/>
          <w:szCs w:val="24"/>
          <w:highlight w:val="none"/>
        </w:rPr>
        <w:t>6 质量要求及售后服务</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1</w:t>
      </w:r>
      <w:r>
        <w:rPr>
          <w:rFonts w:hint="eastAsia" w:ascii="宋体" w:hAnsi="宋体"/>
          <w:sz w:val="24"/>
          <w:szCs w:val="24"/>
          <w:highlight w:val="none"/>
        </w:rPr>
        <w:t xml:space="preserve"> 质量保证期为项目经采购方组织验收，最终验收合格之日起12个月。在质保期内发生问题，成交供应商必须在24小时内到达现场，提交确实可行的方案并解决问题，其费用由成交供应商自行负责。</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2</w:t>
      </w:r>
      <w:r>
        <w:rPr>
          <w:rFonts w:hint="eastAsia" w:ascii="宋体" w:hAnsi="宋体"/>
          <w:sz w:val="24"/>
          <w:szCs w:val="24"/>
          <w:highlight w:val="none"/>
        </w:rPr>
        <w:t xml:space="preserve"> 工</w:t>
      </w:r>
      <w:r>
        <w:rPr>
          <w:rFonts w:hint="eastAsia" w:ascii="宋体" w:hAnsi="宋体" w:cs="宋体"/>
          <w:sz w:val="24"/>
          <w:szCs w:val="24"/>
          <w:highlight w:val="none"/>
        </w:rPr>
        <w:t>程质量要求标准：合格</w:t>
      </w:r>
      <w:r>
        <w:rPr>
          <w:rFonts w:hint="eastAsia" w:ascii="宋体" w:hAnsi="宋体"/>
          <w:sz w:val="24"/>
          <w:szCs w:val="24"/>
          <w:highlight w:val="none"/>
        </w:rPr>
        <w:t>。</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7 验收标准</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7.1 报价方应承诺确保按图纸及技术规范书的要求进行施工，直至通过采购方验收并交付采购方使用。</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7.2 本次施工采用的设备、材料、安全设施等必须符合国家的标准规定。</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7.3 施工验收标准应符合国家有关规范标准及相关技术规定，施工材料、工艺符合质量标准，符合GB/T32270-2015《压力管道规范 动力管道》、《城镇供热管网工程施工及验收规范》CJJ 28-2014、《现场设备、工业管道焊接工程施工规范》 GB50236-2011</w:t>
      </w:r>
      <w:r>
        <w:rPr>
          <w:rFonts w:hint="eastAsia" w:ascii="宋体" w:hAnsi="宋体" w:eastAsia="宋体"/>
          <w:b w:val="0"/>
          <w:sz w:val="24"/>
          <w:szCs w:val="24"/>
          <w:highlight w:val="none"/>
          <w:lang w:val="en-US" w:eastAsia="zh-CN"/>
        </w:rPr>
        <w:t>等标准</w:t>
      </w:r>
      <w:r>
        <w:rPr>
          <w:rFonts w:hint="eastAsia" w:ascii="宋体" w:hAnsi="宋体" w:eastAsia="宋体"/>
          <w:b w:val="0"/>
          <w:sz w:val="24"/>
          <w:szCs w:val="24"/>
          <w:highlight w:val="none"/>
        </w:rPr>
        <w:t>及</w:t>
      </w:r>
      <w:r>
        <w:rPr>
          <w:rFonts w:hint="eastAsia" w:ascii="宋体" w:hAnsi="宋体" w:eastAsia="宋体"/>
          <w:b w:val="0"/>
          <w:sz w:val="24"/>
          <w:szCs w:val="24"/>
          <w:highlight w:val="none"/>
          <w:lang w:val="en-US" w:eastAsia="zh-CN"/>
        </w:rPr>
        <w:t>技术规范书</w:t>
      </w:r>
      <w:r>
        <w:rPr>
          <w:rFonts w:hint="eastAsia" w:ascii="宋体" w:hAnsi="宋体" w:eastAsia="宋体"/>
          <w:b w:val="0"/>
          <w:sz w:val="24"/>
          <w:szCs w:val="24"/>
          <w:highlight w:val="none"/>
        </w:rPr>
        <w:t>规定的技术要求，按设计要求及相关技术规定和规范，组织有关人员进行现场验收。</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b w:val="0"/>
          <w:bCs/>
          <w:sz w:val="24"/>
          <w:szCs w:val="24"/>
          <w:highlight w:val="none"/>
        </w:rPr>
      </w:pPr>
      <w:r>
        <w:rPr>
          <w:rFonts w:hint="eastAsia" w:ascii="宋体" w:hAnsi="宋体" w:eastAsia="宋体"/>
          <w:b w:val="0"/>
          <w:bCs/>
          <w:sz w:val="24"/>
          <w:szCs w:val="24"/>
          <w:highlight w:val="none"/>
        </w:rPr>
        <w:t>7.4 验收依据：谈判文件、报价文件、图纸、厂家货物技术标准说明及国家有关的质量标准规定，均为验收依据。</w:t>
      </w:r>
    </w:p>
    <w:p>
      <w:pPr>
        <w:tabs>
          <w:tab w:val="left" w:pos="0"/>
        </w:tabs>
        <w:snapToGrid w:val="0"/>
        <w:spacing w:line="400" w:lineRule="atLeast"/>
        <w:jc w:val="left"/>
        <w:textAlignment w:val="auto"/>
        <w:rPr>
          <w:rFonts w:ascii="宋体" w:hAnsi="宋体"/>
          <w:b/>
          <w:bCs/>
          <w:sz w:val="24"/>
          <w:szCs w:val="24"/>
          <w:highlight w:val="none"/>
        </w:rPr>
      </w:pPr>
      <w:r>
        <w:rPr>
          <w:rFonts w:hint="eastAsia" w:ascii="宋体" w:hAnsi="宋体"/>
          <w:b/>
          <w:bCs/>
          <w:sz w:val="24"/>
          <w:szCs w:val="24"/>
          <w:highlight w:val="none"/>
        </w:rPr>
        <w:t>8 技术资料</w:t>
      </w:r>
      <w:bookmarkEnd w:id="177"/>
      <w:bookmarkEnd w:id="178"/>
      <w:bookmarkEnd w:id="179"/>
      <w:bookmarkEnd w:id="180"/>
      <w:bookmarkEnd w:id="181"/>
    </w:p>
    <w:p>
      <w:pPr>
        <w:tabs>
          <w:tab w:val="left" w:pos="0"/>
        </w:tabs>
        <w:kinsoku w:val="0"/>
        <w:overflowPunct w:val="0"/>
        <w:snapToGrid w:val="0"/>
        <w:spacing w:line="440" w:lineRule="atLeas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报价方负责将完整的竣工资料移交采购方，资</w:t>
      </w:r>
      <w:r>
        <w:rPr>
          <w:rFonts w:hint="eastAsia" w:hAnsi="宋体" w:cs="宋体"/>
          <w:bCs/>
          <w:sz w:val="24"/>
          <w:szCs w:val="24"/>
          <w:highlight w:val="none"/>
        </w:rPr>
        <w:t>料的组织结构清晰、逻辑性强，资料内容要准确、清晰完整、满足工程要求</w:t>
      </w:r>
      <w:r>
        <w:rPr>
          <w:rFonts w:hint="eastAsia" w:ascii="宋体" w:hAnsi="宋体" w:cs="宋体"/>
          <w:bCs/>
          <w:sz w:val="24"/>
          <w:szCs w:val="24"/>
          <w:highlight w:val="none"/>
        </w:rPr>
        <w:t>：</w:t>
      </w:r>
    </w:p>
    <w:p>
      <w:pPr>
        <w:numPr>
          <w:ilvl w:val="0"/>
          <w:numId w:val="46"/>
        </w:numPr>
        <w:kinsoku w:val="0"/>
        <w:overflowPunct w:val="0"/>
        <w:snapToGrid w:val="0"/>
        <w:spacing w:line="440" w:lineRule="atLeast"/>
        <w:jc w:val="left"/>
        <w:rPr>
          <w:rFonts w:ascii="宋体" w:hAnsi="宋体" w:cs="宋体"/>
          <w:bCs/>
          <w:sz w:val="24"/>
          <w:szCs w:val="24"/>
          <w:highlight w:val="none"/>
        </w:rPr>
      </w:pPr>
      <w:r>
        <w:rPr>
          <w:rFonts w:hint="eastAsia" w:ascii="宋体" w:hAnsi="宋体" w:cs="宋体"/>
          <w:bCs/>
          <w:sz w:val="24"/>
          <w:szCs w:val="24"/>
          <w:highlight w:val="none"/>
        </w:rPr>
        <w:t>项目竣工验收报告和检修质量证明书</w:t>
      </w:r>
      <w:r>
        <w:rPr>
          <w:rFonts w:hint="eastAsia" w:ascii="宋体" w:hAnsi="宋体" w:cs="宋体"/>
          <w:bCs/>
          <w:sz w:val="24"/>
          <w:szCs w:val="24"/>
          <w:highlight w:val="none"/>
          <w:lang w:eastAsia="zh-CN"/>
        </w:rPr>
        <w:t>；</w:t>
      </w:r>
    </w:p>
    <w:p>
      <w:pPr>
        <w:numPr>
          <w:ilvl w:val="0"/>
          <w:numId w:val="46"/>
        </w:numPr>
        <w:kinsoku w:val="0"/>
        <w:overflowPunct w:val="0"/>
        <w:snapToGrid w:val="0"/>
        <w:spacing w:line="440" w:lineRule="atLeast"/>
        <w:jc w:val="left"/>
        <w:rPr>
          <w:rFonts w:ascii="宋体" w:hAnsi="宋体" w:cs="宋体"/>
          <w:bCs/>
          <w:sz w:val="24"/>
          <w:szCs w:val="24"/>
          <w:highlight w:val="none"/>
        </w:rPr>
      </w:pPr>
      <w:r>
        <w:rPr>
          <w:rFonts w:hint="eastAsia" w:ascii="宋体" w:hAnsi="宋体" w:cs="宋体"/>
          <w:bCs/>
          <w:sz w:val="24"/>
          <w:szCs w:val="24"/>
          <w:highlight w:val="none"/>
        </w:rPr>
        <w:t>检修相关试验、验收记录，焊缝拍片资料；</w:t>
      </w:r>
    </w:p>
    <w:p>
      <w:pPr>
        <w:numPr>
          <w:ilvl w:val="0"/>
          <w:numId w:val="46"/>
        </w:numPr>
        <w:kinsoku w:val="0"/>
        <w:overflowPunct w:val="0"/>
        <w:snapToGrid w:val="0"/>
        <w:spacing w:line="440" w:lineRule="atLeast"/>
        <w:jc w:val="left"/>
        <w:rPr>
          <w:rFonts w:ascii="宋体" w:hAnsi="宋体" w:cs="宋体"/>
          <w:bCs/>
          <w:sz w:val="24"/>
          <w:szCs w:val="24"/>
          <w:highlight w:val="none"/>
        </w:rPr>
      </w:pPr>
      <w:r>
        <w:rPr>
          <w:rFonts w:hint="eastAsia" w:ascii="宋体" w:hAnsi="宋体" w:cs="宋体"/>
          <w:bCs/>
          <w:sz w:val="24"/>
          <w:szCs w:val="24"/>
          <w:highlight w:val="none"/>
        </w:rPr>
        <w:t>各种材料质量证明文件；</w:t>
      </w:r>
    </w:p>
    <w:p>
      <w:pPr>
        <w:numPr>
          <w:ilvl w:val="0"/>
          <w:numId w:val="46"/>
        </w:numPr>
        <w:kinsoku w:val="0"/>
        <w:overflowPunct w:val="0"/>
        <w:snapToGrid w:val="0"/>
        <w:spacing w:line="440" w:lineRule="atLeast"/>
        <w:jc w:val="left"/>
        <w:rPr>
          <w:rFonts w:ascii="宋体" w:hAnsi="宋体" w:cs="宋体"/>
          <w:bCs/>
          <w:sz w:val="24"/>
          <w:szCs w:val="24"/>
          <w:highlight w:val="none"/>
        </w:rPr>
      </w:pPr>
      <w:r>
        <w:rPr>
          <w:rFonts w:hint="eastAsia" w:ascii="宋体" w:hAnsi="宋体" w:cs="宋体"/>
          <w:bCs/>
          <w:sz w:val="24"/>
          <w:szCs w:val="24"/>
          <w:highlight w:val="none"/>
        </w:rPr>
        <w:t>本项目实施期间所有的一切资料</w:t>
      </w:r>
      <w:r>
        <w:rPr>
          <w:rFonts w:hint="eastAsia" w:ascii="宋体" w:hAnsi="宋体" w:cs="宋体"/>
          <w:bCs/>
          <w:sz w:val="24"/>
          <w:szCs w:val="24"/>
          <w:highlight w:val="none"/>
          <w:lang w:eastAsia="zh-CN"/>
        </w:rPr>
        <w:t>。</w:t>
      </w:r>
    </w:p>
    <w:p>
      <w:pPr>
        <w:tabs>
          <w:tab w:val="left" w:pos="0"/>
        </w:tabs>
        <w:snapToGrid w:val="0"/>
        <w:spacing w:line="400" w:lineRule="atLeast"/>
        <w:ind w:right="105" w:rightChars="50"/>
        <w:jc w:val="left"/>
        <w:rPr>
          <w:rFonts w:ascii="宋体" w:hAnsi="宋体"/>
          <w:b/>
          <w:bCs/>
          <w:sz w:val="24"/>
          <w:szCs w:val="24"/>
          <w:highlight w:val="none"/>
        </w:rPr>
      </w:pPr>
      <w:r>
        <w:rPr>
          <w:rFonts w:hint="eastAsia" w:ascii="宋体" w:hAnsi="宋体"/>
          <w:b/>
          <w:bCs/>
          <w:sz w:val="24"/>
          <w:szCs w:val="24"/>
          <w:highlight w:val="none"/>
        </w:rPr>
        <w:t>9 本工程实行风险包干制，报价人报价至少须考虑并承担下列风险：</w:t>
      </w:r>
    </w:p>
    <w:p>
      <w:pPr>
        <w:tabs>
          <w:tab w:val="left" w:pos="0"/>
        </w:tabs>
        <w:snapToGrid w:val="0"/>
        <w:spacing w:line="400" w:lineRule="atLeast"/>
        <w:ind w:right="105" w:rightChars="50"/>
        <w:jc w:val="left"/>
        <w:rPr>
          <w:rFonts w:ascii="宋体" w:hAnsi="宋体"/>
          <w:b/>
          <w:bCs/>
          <w:sz w:val="24"/>
          <w:szCs w:val="24"/>
          <w:highlight w:val="none"/>
        </w:rPr>
      </w:pPr>
      <w:r>
        <w:rPr>
          <w:rFonts w:hint="eastAsia" w:ascii="宋体" w:hAnsi="宋体"/>
          <w:b/>
          <w:bCs/>
          <w:sz w:val="24"/>
          <w:szCs w:val="24"/>
          <w:highlight w:val="none"/>
        </w:rPr>
        <w:t>9.1 因工程量清单有错、漏，导致工程预算不准确；</w:t>
      </w:r>
    </w:p>
    <w:p>
      <w:pPr>
        <w:tabs>
          <w:tab w:val="left" w:pos="0"/>
        </w:tabs>
        <w:snapToGrid w:val="0"/>
        <w:spacing w:line="400" w:lineRule="atLeast"/>
        <w:ind w:right="105" w:rightChars="50"/>
        <w:jc w:val="left"/>
        <w:rPr>
          <w:rFonts w:ascii="宋体" w:hAnsi="宋体"/>
          <w:b/>
          <w:bCs/>
          <w:sz w:val="24"/>
          <w:szCs w:val="24"/>
          <w:highlight w:val="none"/>
        </w:rPr>
      </w:pPr>
      <w:r>
        <w:rPr>
          <w:rFonts w:hint="eastAsia" w:ascii="宋体" w:hAnsi="宋体"/>
          <w:b/>
          <w:bCs/>
          <w:sz w:val="24"/>
          <w:szCs w:val="24"/>
          <w:highlight w:val="none"/>
        </w:rPr>
        <w:t>9.2 因市场变化、政策性调整导致人工、机械和材料价格变化的；</w:t>
      </w:r>
    </w:p>
    <w:p>
      <w:pPr>
        <w:tabs>
          <w:tab w:val="left" w:pos="0"/>
        </w:tabs>
        <w:snapToGrid w:val="0"/>
        <w:spacing w:line="400" w:lineRule="atLeast"/>
        <w:ind w:right="105" w:rightChars="50"/>
        <w:jc w:val="left"/>
        <w:rPr>
          <w:rFonts w:ascii="宋体" w:hAnsi="宋体"/>
          <w:b/>
          <w:bCs/>
          <w:sz w:val="24"/>
          <w:szCs w:val="24"/>
          <w:highlight w:val="none"/>
        </w:rPr>
      </w:pPr>
      <w:r>
        <w:rPr>
          <w:rFonts w:hint="eastAsia" w:ascii="宋体" w:hAnsi="宋体"/>
          <w:b/>
          <w:bCs/>
          <w:sz w:val="24"/>
          <w:szCs w:val="24"/>
          <w:highlight w:val="none"/>
        </w:rPr>
        <w:t>9.3 因天气、地形、地质等自然条件的变化，采取的临时措施</w:t>
      </w:r>
      <w:bookmarkEnd w:id="182"/>
      <w:r>
        <w:rPr>
          <w:rFonts w:hint="eastAsia" w:ascii="宋体" w:hAnsi="宋体"/>
          <w:b/>
          <w:bCs/>
          <w:sz w:val="24"/>
          <w:szCs w:val="24"/>
          <w:highlight w:val="none"/>
        </w:rPr>
        <w:t>。</w:t>
      </w:r>
    </w:p>
    <w:p>
      <w:pPr>
        <w:tabs>
          <w:tab w:val="left" w:pos="0"/>
        </w:tabs>
        <w:snapToGrid w:val="0"/>
        <w:spacing w:line="400" w:lineRule="atLeast"/>
        <w:ind w:right="105" w:rightChars="50"/>
        <w:jc w:val="left"/>
        <w:rPr>
          <w:rFonts w:ascii="宋体" w:hAnsi="宋体"/>
          <w:b/>
          <w:bCs/>
          <w:sz w:val="24"/>
          <w:szCs w:val="24"/>
          <w:highlight w:val="none"/>
        </w:rPr>
      </w:pPr>
      <w:r>
        <w:rPr>
          <w:rFonts w:hint="eastAsia" w:ascii="宋体" w:hAnsi="宋体"/>
          <w:b/>
          <w:bCs/>
          <w:sz w:val="24"/>
          <w:szCs w:val="24"/>
          <w:highlight w:val="none"/>
        </w:rPr>
        <w:t>10 设计图纸清册。</w:t>
      </w:r>
    </w:p>
    <w:tbl>
      <w:tblPr>
        <w:tblStyle w:val="31"/>
        <w:tblW w:w="0" w:type="auto"/>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880"/>
        <w:gridCol w:w="5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序号</w:t>
            </w:r>
          </w:p>
        </w:tc>
        <w:tc>
          <w:tcPr>
            <w:tcW w:w="2880" w:type="dxa"/>
            <w:vAlign w:val="center"/>
          </w:tcPr>
          <w:p>
            <w:pPr>
              <w:spacing w:line="500" w:lineRule="atLeast"/>
              <w:jc w:val="center"/>
              <w:rPr>
                <w:rFonts w:ascii="宋体" w:hAnsi="宋体" w:cs="宋体"/>
                <w:sz w:val="24"/>
                <w:szCs w:val="24"/>
                <w:highlight w:val="none"/>
              </w:rPr>
            </w:pPr>
            <w:r>
              <w:rPr>
                <w:rFonts w:hint="eastAsia" w:ascii="宋体" w:hAnsi="宋体" w:cs="宋体"/>
                <w:sz w:val="24"/>
                <w:szCs w:val="24"/>
                <w:highlight w:val="none"/>
              </w:rPr>
              <w:t>图    号</w:t>
            </w:r>
          </w:p>
        </w:tc>
        <w:tc>
          <w:tcPr>
            <w:tcW w:w="5415" w:type="dxa"/>
            <w:vAlign w:val="center"/>
          </w:tcPr>
          <w:p>
            <w:pPr>
              <w:spacing w:line="500" w:lineRule="atLeast"/>
              <w:jc w:val="center"/>
              <w:rPr>
                <w:rFonts w:ascii="宋体" w:hAnsi="宋体" w:cs="宋体"/>
                <w:sz w:val="24"/>
                <w:szCs w:val="24"/>
                <w:highlight w:val="none"/>
              </w:rPr>
            </w:pPr>
            <w:r>
              <w:rPr>
                <w:rFonts w:hint="eastAsia" w:ascii="宋体" w:hAnsi="宋体" w:cs="宋体"/>
                <w:sz w:val="24"/>
                <w:szCs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1</w:t>
            </w:r>
          </w:p>
        </w:tc>
        <w:tc>
          <w:tcPr>
            <w:tcW w:w="2880" w:type="dxa"/>
            <w:vAlign w:val="center"/>
          </w:tcPr>
          <w:p>
            <w:pPr>
              <w:spacing w:line="500" w:lineRule="atLeast"/>
              <w:jc w:val="center"/>
              <w:rPr>
                <w:rFonts w:ascii="宋体" w:hAnsi="宋体" w:cs="宋体"/>
                <w:sz w:val="24"/>
                <w:szCs w:val="24"/>
                <w:highlight w:val="none"/>
              </w:rPr>
            </w:pPr>
            <w:r>
              <w:rPr>
                <w:rFonts w:hint="eastAsia" w:ascii="宋体" w:hAnsi="宋体" w:cs="宋体"/>
                <w:sz w:val="24"/>
                <w:szCs w:val="24"/>
                <w:highlight w:val="none"/>
              </w:rPr>
              <w:t xml:space="preserve">351-F0902Z-J0504 </w:t>
            </w:r>
          </w:p>
        </w:tc>
        <w:tc>
          <w:tcPr>
            <w:tcW w:w="5415" w:type="dxa"/>
            <w:vAlign w:val="center"/>
          </w:tcPr>
          <w:p>
            <w:pPr>
              <w:spacing w:line="500" w:lineRule="atLeast"/>
              <w:jc w:val="center"/>
              <w:rPr>
                <w:rFonts w:ascii="宋体" w:hAnsi="宋体" w:cs="宋体"/>
                <w:sz w:val="24"/>
                <w:szCs w:val="24"/>
                <w:highlight w:val="none"/>
              </w:rPr>
            </w:pPr>
            <w:r>
              <w:rPr>
                <w:rFonts w:hint="eastAsia" w:ascii="宋体" w:hAnsi="宋体" w:cs="宋体"/>
                <w:sz w:val="24"/>
                <w:szCs w:val="24"/>
                <w:highlight w:val="none"/>
              </w:rPr>
              <w:t xml:space="preserve"> 主给水管道安装图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2</w:t>
            </w:r>
          </w:p>
        </w:tc>
        <w:tc>
          <w:tcPr>
            <w:tcW w:w="2880" w:type="dxa"/>
            <w:vAlign w:val="center"/>
          </w:tcPr>
          <w:p>
            <w:pPr>
              <w:spacing w:line="500" w:lineRule="atLeast"/>
              <w:jc w:val="center"/>
              <w:rPr>
                <w:rFonts w:ascii="宋体" w:hAnsi="宋体" w:eastAsia="宋体" w:cs="宋体"/>
                <w:sz w:val="24"/>
                <w:szCs w:val="24"/>
                <w:highlight w:val="none"/>
                <w:lang w:val="en-US" w:eastAsia="zh-CN" w:bidi="ar-SA"/>
              </w:rPr>
            </w:pPr>
            <w:r>
              <w:rPr>
                <w:rFonts w:hint="eastAsia" w:ascii="宋体" w:hAnsi="宋体" w:cs="宋体"/>
                <w:sz w:val="24"/>
                <w:szCs w:val="24"/>
                <w:highlight w:val="none"/>
              </w:rPr>
              <w:t xml:space="preserve">351-F0902S-J0506 </w:t>
            </w:r>
          </w:p>
        </w:tc>
        <w:tc>
          <w:tcPr>
            <w:tcW w:w="5415" w:type="dxa"/>
            <w:vAlign w:val="center"/>
          </w:tcPr>
          <w:p>
            <w:pPr>
              <w:spacing w:line="500" w:lineRule="atLeast"/>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减温水管安装图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3</w:t>
            </w:r>
          </w:p>
        </w:tc>
        <w:tc>
          <w:tcPr>
            <w:tcW w:w="2880" w:type="dxa"/>
            <w:vAlign w:val="center"/>
          </w:tcPr>
          <w:p>
            <w:pPr>
              <w:spacing w:line="500" w:lineRule="atLeast"/>
              <w:jc w:val="center"/>
              <w:rPr>
                <w:rFonts w:ascii="宋体" w:hAnsi="宋体" w:eastAsia="宋体" w:cs="宋体"/>
                <w:sz w:val="24"/>
                <w:szCs w:val="24"/>
                <w:highlight w:val="none"/>
                <w:lang w:val="en-US" w:eastAsia="zh-CN" w:bidi="ar-SA"/>
              </w:rPr>
            </w:pPr>
            <w:r>
              <w:rPr>
                <w:rFonts w:hint="eastAsia" w:ascii="宋体" w:hAnsi="宋体" w:cs="宋体"/>
                <w:sz w:val="24"/>
                <w:szCs w:val="24"/>
                <w:highlight w:val="none"/>
              </w:rPr>
              <w:t>57CS711</w:t>
            </w:r>
          </w:p>
        </w:tc>
        <w:tc>
          <w:tcPr>
            <w:tcW w:w="5415" w:type="dxa"/>
            <w:vAlign w:val="center"/>
          </w:tcPr>
          <w:p>
            <w:pPr>
              <w:spacing w:line="500" w:lineRule="atLeast"/>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锅炉范围内管道图纸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4</w:t>
            </w:r>
          </w:p>
        </w:tc>
        <w:tc>
          <w:tcPr>
            <w:tcW w:w="2880" w:type="dxa"/>
            <w:vAlign w:val="center"/>
          </w:tcPr>
          <w:p>
            <w:pPr>
              <w:spacing w:line="500" w:lineRule="atLeast"/>
              <w:jc w:val="center"/>
              <w:rPr>
                <w:rFonts w:hint="eastAsia" w:ascii="宋体" w:hAnsi="宋体" w:eastAsia="宋体" w:cs="宋体"/>
                <w:sz w:val="24"/>
                <w:szCs w:val="24"/>
                <w:highlight w:val="none"/>
                <w:lang w:val="en-US" w:eastAsia="zh-CN" w:bidi="ar-SA"/>
              </w:rPr>
            </w:pPr>
          </w:p>
        </w:tc>
        <w:tc>
          <w:tcPr>
            <w:tcW w:w="5415" w:type="dxa"/>
            <w:vAlign w:val="center"/>
          </w:tcPr>
          <w:p>
            <w:pPr>
              <w:spacing w:line="500" w:lineRule="atLeast"/>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rPr>
              <w:t>主蒸汽管道系统图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951" w:type="dxa"/>
          </w:tcPr>
          <w:p>
            <w:pPr>
              <w:spacing w:line="500" w:lineRule="atLeast"/>
              <w:jc w:val="distribute"/>
              <w:rPr>
                <w:rFonts w:ascii="宋体" w:hAnsi="宋体" w:cs="宋体"/>
                <w:sz w:val="24"/>
                <w:szCs w:val="24"/>
                <w:highlight w:val="none"/>
              </w:rPr>
            </w:pPr>
            <w:r>
              <w:rPr>
                <w:rFonts w:hint="eastAsia" w:ascii="宋体" w:hAnsi="宋体" w:cs="宋体"/>
                <w:sz w:val="24"/>
                <w:szCs w:val="24"/>
                <w:highlight w:val="none"/>
              </w:rPr>
              <w:t>5</w:t>
            </w:r>
          </w:p>
        </w:tc>
        <w:tc>
          <w:tcPr>
            <w:tcW w:w="2880" w:type="dxa"/>
            <w:vAlign w:val="center"/>
          </w:tcPr>
          <w:p>
            <w:pPr>
              <w:spacing w:line="500" w:lineRule="atLeast"/>
              <w:jc w:val="center"/>
              <w:rPr>
                <w:rFonts w:hint="eastAsia" w:ascii="宋体" w:hAnsi="宋体" w:eastAsia="宋体" w:cs="宋体"/>
                <w:sz w:val="24"/>
                <w:szCs w:val="24"/>
                <w:highlight w:val="none"/>
                <w:lang w:val="en-US" w:eastAsia="zh-CN" w:bidi="ar-SA"/>
              </w:rPr>
            </w:pPr>
          </w:p>
        </w:tc>
        <w:tc>
          <w:tcPr>
            <w:tcW w:w="5415" w:type="dxa"/>
            <w:vAlign w:val="center"/>
          </w:tcPr>
          <w:p>
            <w:pPr>
              <w:spacing w:line="500" w:lineRule="atLeast"/>
              <w:jc w:val="center"/>
              <w:rPr>
                <w:rFonts w:hint="default" w:ascii="宋体" w:hAnsi="宋体" w:eastAsia="宋体" w:cs="宋体"/>
                <w:sz w:val="24"/>
                <w:szCs w:val="24"/>
                <w:highlight w:val="none"/>
                <w:lang w:val="en-US" w:eastAsia="zh-CN" w:bidi="ar-SA"/>
              </w:rPr>
            </w:pPr>
            <w:r>
              <w:rPr>
                <w:rFonts w:hint="eastAsia" w:ascii="宋体" w:hAnsi="宋体" w:cs="宋体"/>
                <w:sz w:val="24"/>
                <w:szCs w:val="24"/>
                <w:highlight w:val="none"/>
              </w:rPr>
              <w:t>主蒸汽管道管道平面布置图</w:t>
            </w:r>
          </w:p>
        </w:tc>
      </w:tr>
    </w:tbl>
    <w:p>
      <w:pPr>
        <w:pStyle w:val="5"/>
        <w:rPr>
          <w:highlight w:val="none"/>
        </w:rPr>
      </w:pPr>
    </w:p>
    <w:sectPr>
      <w:pgSz w:w="11906" w:h="16838"/>
      <w:pgMar w:top="1418" w:right="1418" w:bottom="1134" w:left="1418" w:header="1247"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行楷体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1312;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BSwrQECwIAAAIEAAAOAAAAAAAAAAEAIAAAACEB&#10;AABkcnMvZTJvRG9jLnhtbFBLBQYAAAAABgAGAFkBAACeBQ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2336;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AqdwdGCwIAAAIEAAAOAAAAAAAAAAEAIAAAACEB&#10;AABkcnMvZTJvRG9jLnhtbFBLBQYAAAAABgAGAFkBAACeBQ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vbaS0gAAAAQBAAAPAAAAAAAAAAEAIAAAACIAAABkcnMv&#10;ZG93bnJldi54bWxQSwECFAAUAAAACACHTuJAoqjTgQkCAAACBAAADgAAAAAAAAABACAAAAAhAQAA&#10;ZHJzL2Uyb0RvYy54bWxQSwUGAAAAAAYABgBZAQAAnA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83A2C78"/>
    <w:multiLevelType w:val="singleLevel"/>
    <w:tmpl w:val="883A2C78"/>
    <w:lvl w:ilvl="0" w:tentative="0">
      <w:start w:val="1"/>
      <w:numFmt w:val="none"/>
      <w:suff w:val="nothing"/>
      <w:lvlText w:val="8.1 "/>
      <w:lvlJc w:val="left"/>
      <w:pPr>
        <w:tabs>
          <w:tab w:val="left" w:pos="0"/>
        </w:tabs>
      </w:pPr>
      <w:rPr>
        <w:rFonts w:hint="default" w:ascii="宋体" w:hAnsi="宋体" w:eastAsia="宋体" w:cs="宋体"/>
      </w:rPr>
    </w:lvl>
  </w:abstractNum>
  <w:abstractNum w:abstractNumId="3">
    <w:nsid w:val="88CBF1C0"/>
    <w:multiLevelType w:val="singleLevel"/>
    <w:tmpl w:val="88CBF1C0"/>
    <w:lvl w:ilvl="0" w:tentative="0">
      <w:start w:val="1"/>
      <w:numFmt w:val="decimal"/>
      <w:suff w:val="nothing"/>
      <w:lvlText w:val="%1 "/>
      <w:lvlJc w:val="left"/>
      <w:pPr>
        <w:ind w:left="0" w:firstLine="0"/>
      </w:pPr>
      <w:rPr>
        <w:rFonts w:hint="default"/>
      </w:rPr>
    </w:lvl>
  </w:abstractNum>
  <w:abstractNum w:abstractNumId="4">
    <w:nsid w:val="8EE572A2"/>
    <w:multiLevelType w:val="singleLevel"/>
    <w:tmpl w:val="8EE572A2"/>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5">
    <w:nsid w:val="919252A0"/>
    <w:multiLevelType w:val="singleLevel"/>
    <w:tmpl w:val="919252A0"/>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6">
    <w:nsid w:val="958C5C4B"/>
    <w:multiLevelType w:val="singleLevel"/>
    <w:tmpl w:val="958C5C4B"/>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7">
    <w:nsid w:val="9B86F5D9"/>
    <w:multiLevelType w:val="singleLevel"/>
    <w:tmpl w:val="9B86F5D9"/>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A2483764"/>
    <w:multiLevelType w:val="singleLevel"/>
    <w:tmpl w:val="A2483764"/>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9">
    <w:nsid w:val="A457F3DA"/>
    <w:multiLevelType w:val="singleLevel"/>
    <w:tmpl w:val="A457F3DA"/>
    <w:lvl w:ilvl="0" w:tentative="0">
      <w:start w:val="1"/>
      <w:numFmt w:val="decimal"/>
      <w:suff w:val="nothing"/>
      <w:lvlText w:val="3.%1 "/>
      <w:lvlJc w:val="left"/>
      <w:pPr>
        <w:tabs>
          <w:tab w:val="left" w:pos="0"/>
        </w:tabs>
        <w:ind w:left="0" w:firstLine="2"/>
      </w:pPr>
      <w:rPr>
        <w:rFonts w:hint="default" w:ascii="宋体" w:hAnsi="宋体" w:eastAsia="宋体" w:cs="宋体"/>
      </w:rPr>
    </w:lvl>
  </w:abstractNum>
  <w:abstractNum w:abstractNumId="10">
    <w:nsid w:val="A6DC437B"/>
    <w:multiLevelType w:val="singleLevel"/>
    <w:tmpl w:val="A6DC437B"/>
    <w:lvl w:ilvl="0" w:tentative="0">
      <w:start w:val="1"/>
      <w:numFmt w:val="decimal"/>
      <w:suff w:val="nothing"/>
      <w:lvlText w:val="%1 "/>
      <w:lvlJc w:val="left"/>
      <w:pPr>
        <w:tabs>
          <w:tab w:val="left" w:pos="0"/>
        </w:tabs>
        <w:ind w:left="0" w:firstLine="0"/>
      </w:pPr>
      <w:rPr>
        <w:rFonts w:hint="default"/>
      </w:rPr>
    </w:lvl>
  </w:abstractNum>
  <w:abstractNum w:abstractNumId="11">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2">
    <w:nsid w:val="AD01B48E"/>
    <w:multiLevelType w:val="singleLevel"/>
    <w:tmpl w:val="AD01B48E"/>
    <w:lvl w:ilvl="0" w:tentative="0">
      <w:start w:val="1"/>
      <w:numFmt w:val="decimal"/>
      <w:suff w:val="nothing"/>
      <w:lvlText w:val="5.1.9.%1 "/>
      <w:lvlJc w:val="left"/>
      <w:pPr>
        <w:tabs>
          <w:tab w:val="left" w:pos="0"/>
        </w:tabs>
        <w:ind w:left="0" w:firstLine="2"/>
      </w:pPr>
      <w:rPr>
        <w:rFonts w:hint="default" w:ascii="宋体" w:hAnsi="宋体" w:eastAsia="宋体" w:cs="宋体"/>
      </w:rPr>
    </w:lvl>
  </w:abstractNum>
  <w:abstractNum w:abstractNumId="13">
    <w:nsid w:val="B26860C3"/>
    <w:multiLevelType w:val="singleLevel"/>
    <w:tmpl w:val="B26860C3"/>
    <w:lvl w:ilvl="0" w:tentative="0">
      <w:start w:val="1"/>
      <w:numFmt w:val="decimal"/>
      <w:suff w:val="nothing"/>
      <w:lvlText w:val="4.%1 "/>
      <w:lvlJc w:val="left"/>
      <w:pPr>
        <w:ind w:left="0" w:firstLine="0"/>
      </w:pPr>
      <w:rPr>
        <w:rFonts w:hint="default"/>
      </w:rPr>
    </w:lvl>
  </w:abstractNum>
  <w:abstractNum w:abstractNumId="14">
    <w:nsid w:val="B97B2208"/>
    <w:multiLevelType w:val="singleLevel"/>
    <w:tmpl w:val="B97B2208"/>
    <w:lvl w:ilvl="0" w:tentative="0">
      <w:start w:val="1"/>
      <w:numFmt w:val="decimal"/>
      <w:suff w:val="nothing"/>
      <w:lvlText w:val="5.4.%1 "/>
      <w:lvlJc w:val="left"/>
      <w:pPr>
        <w:tabs>
          <w:tab w:val="left" w:pos="0"/>
        </w:tabs>
        <w:ind w:left="0" w:firstLine="2"/>
      </w:pPr>
      <w:rPr>
        <w:rFonts w:hint="default" w:ascii="宋体" w:hAnsi="宋体" w:eastAsia="宋体" w:cs="宋体"/>
      </w:rPr>
    </w:lvl>
  </w:abstractNum>
  <w:abstractNum w:abstractNumId="15">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6">
    <w:nsid w:val="BEE16A3A"/>
    <w:multiLevelType w:val="singleLevel"/>
    <w:tmpl w:val="BEE16A3A"/>
    <w:lvl w:ilvl="0" w:tentative="0">
      <w:start w:val="6"/>
      <w:numFmt w:val="decimal"/>
      <w:suff w:val="nothing"/>
      <w:lvlText w:val="%1 "/>
      <w:lvlJc w:val="left"/>
      <w:pPr>
        <w:tabs>
          <w:tab w:val="left" w:pos="0"/>
        </w:tabs>
        <w:ind w:left="0" w:firstLine="0"/>
      </w:pPr>
      <w:rPr>
        <w:rFonts w:hint="default"/>
      </w:rPr>
    </w:lvl>
  </w:abstractNum>
  <w:abstractNum w:abstractNumId="17">
    <w:nsid w:val="BEFDCDBC"/>
    <w:multiLevelType w:val="singleLevel"/>
    <w:tmpl w:val="BEFDCDBC"/>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8">
    <w:nsid w:val="C1DF39FA"/>
    <w:multiLevelType w:val="singleLevel"/>
    <w:tmpl w:val="C1DF39FA"/>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9">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20">
    <w:nsid w:val="D79DD674"/>
    <w:multiLevelType w:val="singleLevel"/>
    <w:tmpl w:val="D79DD674"/>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1">
    <w:nsid w:val="D91E16D8"/>
    <w:multiLevelType w:val="singleLevel"/>
    <w:tmpl w:val="D91E16D8"/>
    <w:lvl w:ilvl="0" w:tentative="0">
      <w:start w:val="1"/>
      <w:numFmt w:val="decimal"/>
      <w:suff w:val="nothing"/>
      <w:lvlText w:val="1.4.%1 "/>
      <w:lvlJc w:val="left"/>
      <w:pPr>
        <w:tabs>
          <w:tab w:val="left" w:pos="0"/>
        </w:tabs>
        <w:ind w:left="0" w:firstLine="0"/>
      </w:pPr>
      <w:rPr>
        <w:rFonts w:hint="default" w:ascii="宋体" w:hAnsi="宋体" w:eastAsia="宋体" w:cs="宋体"/>
      </w:rPr>
    </w:lvl>
  </w:abstractNum>
  <w:abstractNum w:abstractNumId="22">
    <w:nsid w:val="DB0E468C"/>
    <w:multiLevelType w:val="singleLevel"/>
    <w:tmpl w:val="DB0E468C"/>
    <w:lvl w:ilvl="0" w:tentative="0">
      <w:start w:val="1"/>
      <w:numFmt w:val="decimal"/>
      <w:suff w:val="nothing"/>
      <w:lvlText w:val="1.%1 "/>
      <w:lvlJc w:val="left"/>
      <w:pPr>
        <w:tabs>
          <w:tab w:val="left" w:pos="0"/>
        </w:tabs>
        <w:ind w:left="0" w:firstLine="2"/>
      </w:pPr>
      <w:rPr>
        <w:rFonts w:hint="default" w:ascii="宋体" w:hAnsi="宋体" w:eastAsia="宋体" w:cs="宋体"/>
      </w:rPr>
    </w:lvl>
  </w:abstractNum>
  <w:abstractNum w:abstractNumId="23">
    <w:nsid w:val="DEC9B15E"/>
    <w:multiLevelType w:val="singleLevel"/>
    <w:tmpl w:val="DEC9B15E"/>
    <w:lvl w:ilvl="0" w:tentative="0">
      <w:start w:val="1"/>
      <w:numFmt w:val="decimal"/>
      <w:lvlText w:val="2.1.%1"/>
      <w:lvlJc w:val="left"/>
      <w:pPr>
        <w:tabs>
          <w:tab w:val="left" w:pos="0"/>
        </w:tabs>
        <w:ind w:left="0" w:leftChars="0" w:firstLine="0" w:firstLineChars="0"/>
      </w:pPr>
      <w:rPr>
        <w:rFonts w:hint="default"/>
      </w:rPr>
    </w:lvl>
  </w:abstractNum>
  <w:abstractNum w:abstractNumId="24">
    <w:nsid w:val="E1CD0724"/>
    <w:multiLevelType w:val="singleLevel"/>
    <w:tmpl w:val="E1CD0724"/>
    <w:lvl w:ilvl="0" w:tentative="0">
      <w:start w:val="1"/>
      <w:numFmt w:val="decimal"/>
      <w:suff w:val="nothing"/>
      <w:lvlText w:val="5.3.%1 "/>
      <w:lvlJc w:val="left"/>
      <w:pPr>
        <w:tabs>
          <w:tab w:val="left" w:pos="0"/>
        </w:tabs>
        <w:ind w:left="0" w:firstLine="2"/>
      </w:pPr>
      <w:rPr>
        <w:rFonts w:hint="default" w:ascii="宋体" w:hAnsi="宋体" w:eastAsia="宋体" w:cs="宋体"/>
      </w:rPr>
    </w:lvl>
  </w:abstractNum>
  <w:abstractNum w:abstractNumId="25">
    <w:nsid w:val="E46CB2DF"/>
    <w:multiLevelType w:val="singleLevel"/>
    <w:tmpl w:val="E46CB2DF"/>
    <w:lvl w:ilvl="0" w:tentative="0">
      <w:start w:val="1"/>
      <w:numFmt w:val="decimal"/>
      <w:suff w:val="nothing"/>
      <w:lvlText w:val="%1 "/>
      <w:lvlJc w:val="left"/>
      <w:pPr>
        <w:ind w:left="0" w:firstLine="0"/>
      </w:pPr>
      <w:rPr>
        <w:rFonts w:hint="default"/>
      </w:rPr>
    </w:lvl>
  </w:abstractNum>
  <w:abstractNum w:abstractNumId="26">
    <w:nsid w:val="E6E1BC17"/>
    <w:multiLevelType w:val="singleLevel"/>
    <w:tmpl w:val="E6E1BC17"/>
    <w:lvl w:ilvl="0" w:tentative="0">
      <w:start w:val="1"/>
      <w:numFmt w:val="decimal"/>
      <w:suff w:val="nothing"/>
      <w:lvlText w:val="1.5.%1 "/>
      <w:lvlJc w:val="left"/>
      <w:pPr>
        <w:tabs>
          <w:tab w:val="left" w:pos="0"/>
        </w:tabs>
        <w:ind w:left="0" w:firstLine="0"/>
      </w:pPr>
      <w:rPr>
        <w:rFonts w:hint="default" w:ascii="宋体" w:hAnsi="宋体" w:eastAsia="宋体" w:cs="宋体"/>
      </w:rPr>
    </w:lvl>
  </w:abstractNum>
  <w:abstractNum w:abstractNumId="27">
    <w:nsid w:val="EF9E2025"/>
    <w:multiLevelType w:val="singleLevel"/>
    <w:tmpl w:val="EF9E2025"/>
    <w:lvl w:ilvl="0" w:tentative="0">
      <w:start w:val="2"/>
      <w:numFmt w:val="decimal"/>
      <w:suff w:val="nothing"/>
      <w:lvlText w:val="%1、"/>
      <w:lvlJc w:val="left"/>
    </w:lvl>
  </w:abstractNum>
  <w:abstractNum w:abstractNumId="28">
    <w:nsid w:val="FFD56ED0"/>
    <w:multiLevelType w:val="singleLevel"/>
    <w:tmpl w:val="FFD56ED0"/>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9">
    <w:nsid w:val="03F54540"/>
    <w:multiLevelType w:val="singleLevel"/>
    <w:tmpl w:val="03F54540"/>
    <w:lvl w:ilvl="0" w:tentative="0">
      <w:start w:val="1"/>
      <w:numFmt w:val="decimal"/>
      <w:suff w:val="nothing"/>
      <w:lvlText w:val="5.%1 "/>
      <w:lvlJc w:val="left"/>
      <w:pPr>
        <w:tabs>
          <w:tab w:val="left" w:pos="0"/>
        </w:tabs>
        <w:ind w:left="-2" w:firstLine="2"/>
      </w:pPr>
      <w:rPr>
        <w:rFonts w:hint="default" w:ascii="宋体" w:hAnsi="宋体" w:eastAsia="宋体" w:cs="宋体"/>
      </w:rPr>
    </w:lvl>
  </w:abstractNum>
  <w:abstractNum w:abstractNumId="30">
    <w:nsid w:val="0E5C7998"/>
    <w:multiLevelType w:val="singleLevel"/>
    <w:tmpl w:val="0E5C7998"/>
    <w:lvl w:ilvl="0" w:tentative="0">
      <w:start w:val="1"/>
      <w:numFmt w:val="decimal"/>
      <w:suff w:val="nothing"/>
      <w:lvlText w:val="%1、"/>
      <w:lvlJc w:val="left"/>
    </w:lvl>
  </w:abstractNum>
  <w:abstractNum w:abstractNumId="31">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32">
    <w:nsid w:val="12C2681E"/>
    <w:multiLevelType w:val="singleLevel"/>
    <w:tmpl w:val="12C2681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34">
    <w:nsid w:val="1BFE92ED"/>
    <w:multiLevelType w:val="singleLevel"/>
    <w:tmpl w:val="1BFE92ED"/>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5">
    <w:nsid w:val="1D72D416"/>
    <w:multiLevelType w:val="singleLevel"/>
    <w:tmpl w:val="1D72D416"/>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6">
    <w:nsid w:val="3167E9DB"/>
    <w:multiLevelType w:val="singleLevel"/>
    <w:tmpl w:val="3167E9DB"/>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7">
    <w:nsid w:val="323A7A39"/>
    <w:multiLevelType w:val="singleLevel"/>
    <w:tmpl w:val="323A7A39"/>
    <w:lvl w:ilvl="0" w:tentative="0">
      <w:start w:val="1"/>
      <w:numFmt w:val="decimal"/>
      <w:suff w:val="nothing"/>
      <w:lvlText w:val="%1 "/>
      <w:lvlJc w:val="left"/>
      <w:pPr>
        <w:tabs>
          <w:tab w:val="left" w:pos="0"/>
        </w:tabs>
        <w:ind w:left="0" w:firstLine="0"/>
      </w:pPr>
      <w:rPr>
        <w:rFonts w:hint="default"/>
      </w:rPr>
    </w:lvl>
  </w:abstractNum>
  <w:abstractNum w:abstractNumId="38">
    <w:nsid w:val="4C75ECD3"/>
    <w:multiLevelType w:val="singleLevel"/>
    <w:tmpl w:val="4C75ECD3"/>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39">
    <w:nsid w:val="50EC0B89"/>
    <w:multiLevelType w:val="singleLevel"/>
    <w:tmpl w:val="50EC0B89"/>
    <w:lvl w:ilvl="0" w:tentative="0">
      <w:start w:val="1"/>
      <w:numFmt w:val="decimal"/>
      <w:suff w:val="nothing"/>
      <w:lvlText w:val="5.1.5.%1 "/>
      <w:lvlJc w:val="left"/>
      <w:pPr>
        <w:tabs>
          <w:tab w:val="left" w:pos="0"/>
        </w:tabs>
        <w:ind w:left="0" w:firstLine="0"/>
      </w:pPr>
      <w:rPr>
        <w:rFonts w:hint="default" w:ascii="宋体" w:hAnsi="宋体" w:eastAsia="宋体" w:cs="宋体"/>
      </w:rPr>
    </w:lvl>
  </w:abstractNum>
  <w:abstractNum w:abstractNumId="40">
    <w:nsid w:val="54D4062F"/>
    <w:multiLevelType w:val="singleLevel"/>
    <w:tmpl w:val="54D4062F"/>
    <w:lvl w:ilvl="0" w:tentative="0">
      <w:start w:val="1"/>
      <w:numFmt w:val="decimal"/>
      <w:suff w:val="nothing"/>
      <w:lvlText w:val="%1、"/>
      <w:lvlJc w:val="left"/>
    </w:lvl>
  </w:abstractNum>
  <w:abstractNum w:abstractNumId="41">
    <w:nsid w:val="5B35DE56"/>
    <w:multiLevelType w:val="singleLevel"/>
    <w:tmpl w:val="5B35DE56"/>
    <w:lvl w:ilvl="0" w:tentative="0">
      <w:start w:val="1"/>
      <w:numFmt w:val="decimal"/>
      <w:suff w:val="nothing"/>
      <w:lvlText w:val="5.2.%1 "/>
      <w:lvlJc w:val="left"/>
      <w:pPr>
        <w:tabs>
          <w:tab w:val="left" w:pos="0"/>
        </w:tabs>
        <w:ind w:left="0" w:firstLine="2"/>
      </w:pPr>
      <w:rPr>
        <w:rFonts w:hint="default" w:ascii="宋体" w:hAnsi="宋体" w:eastAsia="宋体" w:cs="宋体"/>
      </w:rPr>
    </w:lvl>
  </w:abstractNum>
  <w:abstractNum w:abstractNumId="42">
    <w:nsid w:val="680F363F"/>
    <w:multiLevelType w:val="singleLevel"/>
    <w:tmpl w:val="680F363F"/>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3">
    <w:nsid w:val="6CCFCF03"/>
    <w:multiLevelType w:val="singleLevel"/>
    <w:tmpl w:val="6CCFCF03"/>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44">
    <w:nsid w:val="7A5C1FED"/>
    <w:multiLevelType w:val="singleLevel"/>
    <w:tmpl w:val="7A5C1FED"/>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45">
    <w:nsid w:val="7CC9DC45"/>
    <w:multiLevelType w:val="singleLevel"/>
    <w:tmpl w:val="7CC9DC45"/>
    <w:lvl w:ilvl="0" w:tentative="0">
      <w:start w:val="1"/>
      <w:numFmt w:val="decimal"/>
      <w:suff w:val="nothing"/>
      <w:lvlText w:val="5.1.%1 "/>
      <w:lvlJc w:val="left"/>
      <w:pPr>
        <w:tabs>
          <w:tab w:val="left" w:pos="0"/>
        </w:tabs>
        <w:ind w:left="0" w:firstLine="2"/>
      </w:pPr>
      <w:rPr>
        <w:rFonts w:hint="default" w:ascii="宋体" w:hAnsi="宋体" w:eastAsia="宋体" w:cs="宋体"/>
      </w:rPr>
    </w:lvl>
  </w:abstractNum>
  <w:num w:numId="1">
    <w:abstractNumId w:val="25"/>
  </w:num>
  <w:num w:numId="2">
    <w:abstractNumId w:val="34"/>
  </w:num>
  <w:num w:numId="3">
    <w:abstractNumId w:val="21"/>
  </w:num>
  <w:num w:numId="4">
    <w:abstractNumId w:val="26"/>
  </w:num>
  <w:num w:numId="5">
    <w:abstractNumId w:val="42"/>
  </w:num>
  <w:num w:numId="6">
    <w:abstractNumId w:val="20"/>
  </w:num>
  <w:num w:numId="7">
    <w:abstractNumId w:val="44"/>
  </w:num>
  <w:num w:numId="8">
    <w:abstractNumId w:val="4"/>
  </w:num>
  <w:num w:numId="9">
    <w:abstractNumId w:val="16"/>
  </w:num>
  <w:num w:numId="10">
    <w:abstractNumId w:val="19"/>
  </w:num>
  <w:num w:numId="11">
    <w:abstractNumId w:val="1"/>
  </w:num>
  <w:num w:numId="12">
    <w:abstractNumId w:val="30"/>
  </w:num>
  <w:num w:numId="13">
    <w:abstractNumId w:val="40"/>
  </w:num>
  <w:num w:numId="14">
    <w:abstractNumId w:val="10"/>
  </w:num>
  <w:num w:numId="15">
    <w:abstractNumId w:val="6"/>
  </w:num>
  <w:num w:numId="16">
    <w:abstractNumId w:val="7"/>
  </w:num>
  <w:num w:numId="17">
    <w:abstractNumId w:val="9"/>
  </w:num>
  <w:num w:numId="18">
    <w:abstractNumId w:val="18"/>
  </w:num>
  <w:num w:numId="19">
    <w:abstractNumId w:val="35"/>
  </w:num>
  <w:num w:numId="20">
    <w:abstractNumId w:val="38"/>
  </w:num>
  <w:num w:numId="21">
    <w:abstractNumId w:val="5"/>
  </w:num>
  <w:num w:numId="22">
    <w:abstractNumId w:val="39"/>
  </w:num>
  <w:num w:numId="23">
    <w:abstractNumId w:val="28"/>
  </w:num>
  <w:num w:numId="24">
    <w:abstractNumId w:val="43"/>
  </w:num>
  <w:num w:numId="25">
    <w:abstractNumId w:val="17"/>
  </w:num>
  <w:num w:numId="26">
    <w:abstractNumId w:val="36"/>
  </w:num>
  <w:num w:numId="27">
    <w:abstractNumId w:val="3"/>
  </w:num>
  <w:num w:numId="28">
    <w:abstractNumId w:val="32"/>
  </w:num>
  <w:num w:numId="29">
    <w:abstractNumId w:val="8"/>
  </w:num>
  <w:num w:numId="30">
    <w:abstractNumId w:val="15"/>
  </w:num>
  <w:num w:numId="31">
    <w:abstractNumId w:val="11"/>
  </w:num>
  <w:num w:numId="32">
    <w:abstractNumId w:val="27"/>
  </w:num>
  <w:num w:numId="33">
    <w:abstractNumId w:val="31"/>
  </w:num>
  <w:num w:numId="34">
    <w:abstractNumId w:val="33"/>
  </w:num>
  <w:num w:numId="35">
    <w:abstractNumId w:val="0"/>
  </w:num>
  <w:num w:numId="36">
    <w:abstractNumId w:val="37"/>
  </w:num>
  <w:num w:numId="37">
    <w:abstractNumId w:val="22"/>
  </w:num>
  <w:num w:numId="38">
    <w:abstractNumId w:val="23"/>
  </w:num>
  <w:num w:numId="39">
    <w:abstractNumId w:val="13"/>
  </w:num>
  <w:num w:numId="40">
    <w:abstractNumId w:val="29"/>
  </w:num>
  <w:num w:numId="41">
    <w:abstractNumId w:val="45"/>
  </w:num>
  <w:num w:numId="42">
    <w:abstractNumId w:val="12"/>
  </w:num>
  <w:num w:numId="43">
    <w:abstractNumId w:val="41"/>
  </w:num>
  <w:num w:numId="44">
    <w:abstractNumId w:val="24"/>
  </w:num>
  <w:num w:numId="45">
    <w:abstractNumId w:val="1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lmZDRiZDUwZTUyYTk3OGQzNTRlZDViZDg0OGUifQ=="/>
  </w:docVars>
  <w:rsids>
    <w:rsidRoot w:val="008D6CE3"/>
    <w:rsid w:val="00074C15"/>
    <w:rsid w:val="00100B02"/>
    <w:rsid w:val="00272204"/>
    <w:rsid w:val="002A4EA7"/>
    <w:rsid w:val="002C6B2B"/>
    <w:rsid w:val="00333DE7"/>
    <w:rsid w:val="003352D3"/>
    <w:rsid w:val="003364F0"/>
    <w:rsid w:val="00397670"/>
    <w:rsid w:val="003C5A72"/>
    <w:rsid w:val="003F477E"/>
    <w:rsid w:val="00432D8F"/>
    <w:rsid w:val="004921E0"/>
    <w:rsid w:val="005426B2"/>
    <w:rsid w:val="005817E4"/>
    <w:rsid w:val="005B6AE4"/>
    <w:rsid w:val="005C2C97"/>
    <w:rsid w:val="00602165"/>
    <w:rsid w:val="00625089"/>
    <w:rsid w:val="00647D2B"/>
    <w:rsid w:val="00660330"/>
    <w:rsid w:val="0069298C"/>
    <w:rsid w:val="006C6954"/>
    <w:rsid w:val="007F7C09"/>
    <w:rsid w:val="008877D9"/>
    <w:rsid w:val="00887A53"/>
    <w:rsid w:val="00893B13"/>
    <w:rsid w:val="008D6CE3"/>
    <w:rsid w:val="009C0858"/>
    <w:rsid w:val="009C35DD"/>
    <w:rsid w:val="00BC233C"/>
    <w:rsid w:val="00CB301A"/>
    <w:rsid w:val="00CF74BB"/>
    <w:rsid w:val="00D035DC"/>
    <w:rsid w:val="00D64E4A"/>
    <w:rsid w:val="00E32419"/>
    <w:rsid w:val="00E8627B"/>
    <w:rsid w:val="00EE0F9C"/>
    <w:rsid w:val="00F344E3"/>
    <w:rsid w:val="00F76DA4"/>
    <w:rsid w:val="00FA6F75"/>
    <w:rsid w:val="00FE68CD"/>
    <w:rsid w:val="04667B75"/>
    <w:rsid w:val="057C18CA"/>
    <w:rsid w:val="05C639EB"/>
    <w:rsid w:val="05CF6F53"/>
    <w:rsid w:val="08AC25CB"/>
    <w:rsid w:val="08E23311"/>
    <w:rsid w:val="09615691"/>
    <w:rsid w:val="0AAB6D8A"/>
    <w:rsid w:val="0ABC343B"/>
    <w:rsid w:val="0C2E5A0A"/>
    <w:rsid w:val="0DE67673"/>
    <w:rsid w:val="0EB542AF"/>
    <w:rsid w:val="103B3567"/>
    <w:rsid w:val="111A6636"/>
    <w:rsid w:val="12F577EF"/>
    <w:rsid w:val="18C27602"/>
    <w:rsid w:val="1BEB7516"/>
    <w:rsid w:val="20E10CB2"/>
    <w:rsid w:val="22F02E0C"/>
    <w:rsid w:val="231734D0"/>
    <w:rsid w:val="23874ACA"/>
    <w:rsid w:val="25674CF7"/>
    <w:rsid w:val="26BC399A"/>
    <w:rsid w:val="271155BC"/>
    <w:rsid w:val="28552D0E"/>
    <w:rsid w:val="28F40890"/>
    <w:rsid w:val="2A093B87"/>
    <w:rsid w:val="2A7A4627"/>
    <w:rsid w:val="2B561A6F"/>
    <w:rsid w:val="2C056780"/>
    <w:rsid w:val="2C3C6A18"/>
    <w:rsid w:val="2C6065E7"/>
    <w:rsid w:val="2F065DCE"/>
    <w:rsid w:val="30804C7F"/>
    <w:rsid w:val="32C764E0"/>
    <w:rsid w:val="33AC3260"/>
    <w:rsid w:val="34547065"/>
    <w:rsid w:val="34BE078B"/>
    <w:rsid w:val="35CC6614"/>
    <w:rsid w:val="35FA746B"/>
    <w:rsid w:val="37A22E34"/>
    <w:rsid w:val="38696BAA"/>
    <w:rsid w:val="39205FFB"/>
    <w:rsid w:val="392E1341"/>
    <w:rsid w:val="394C0081"/>
    <w:rsid w:val="3A311B11"/>
    <w:rsid w:val="3AB369D6"/>
    <w:rsid w:val="3BB94355"/>
    <w:rsid w:val="3BFA24BD"/>
    <w:rsid w:val="3D136FB9"/>
    <w:rsid w:val="3DF245B0"/>
    <w:rsid w:val="3E032565"/>
    <w:rsid w:val="3ED35EFE"/>
    <w:rsid w:val="407B22FA"/>
    <w:rsid w:val="41860092"/>
    <w:rsid w:val="41F00510"/>
    <w:rsid w:val="42013457"/>
    <w:rsid w:val="4233037B"/>
    <w:rsid w:val="42905D75"/>
    <w:rsid w:val="441817D8"/>
    <w:rsid w:val="44B82B7F"/>
    <w:rsid w:val="44E367C7"/>
    <w:rsid w:val="46B97C71"/>
    <w:rsid w:val="47181B07"/>
    <w:rsid w:val="47EA2AA8"/>
    <w:rsid w:val="497F6149"/>
    <w:rsid w:val="49994A9C"/>
    <w:rsid w:val="49F75575"/>
    <w:rsid w:val="4B0D6438"/>
    <w:rsid w:val="4B2D02F7"/>
    <w:rsid w:val="4CB31E3E"/>
    <w:rsid w:val="4E1C18F1"/>
    <w:rsid w:val="501F244B"/>
    <w:rsid w:val="503149DC"/>
    <w:rsid w:val="5064216D"/>
    <w:rsid w:val="51647E65"/>
    <w:rsid w:val="51B247F2"/>
    <w:rsid w:val="523B4503"/>
    <w:rsid w:val="523D423C"/>
    <w:rsid w:val="52612CCD"/>
    <w:rsid w:val="52723601"/>
    <w:rsid w:val="53A1532A"/>
    <w:rsid w:val="554227A1"/>
    <w:rsid w:val="55E27D27"/>
    <w:rsid w:val="563517E2"/>
    <w:rsid w:val="587A07F0"/>
    <w:rsid w:val="59486B4B"/>
    <w:rsid w:val="5BB443ED"/>
    <w:rsid w:val="5CC04DD3"/>
    <w:rsid w:val="5D5E4850"/>
    <w:rsid w:val="5DDF1F94"/>
    <w:rsid w:val="5E68423C"/>
    <w:rsid w:val="5E9E0693"/>
    <w:rsid w:val="5EC45A7B"/>
    <w:rsid w:val="606E35E1"/>
    <w:rsid w:val="60B30A54"/>
    <w:rsid w:val="621C56FC"/>
    <w:rsid w:val="63095A86"/>
    <w:rsid w:val="641D2190"/>
    <w:rsid w:val="653B4200"/>
    <w:rsid w:val="65B73862"/>
    <w:rsid w:val="66765C53"/>
    <w:rsid w:val="669C0DB6"/>
    <w:rsid w:val="684F59FB"/>
    <w:rsid w:val="69FC7749"/>
    <w:rsid w:val="6A666D43"/>
    <w:rsid w:val="6A9D1296"/>
    <w:rsid w:val="6B4820C3"/>
    <w:rsid w:val="6DF45E6F"/>
    <w:rsid w:val="6F4F36DD"/>
    <w:rsid w:val="6F857BD5"/>
    <w:rsid w:val="71DA66CF"/>
    <w:rsid w:val="73886125"/>
    <w:rsid w:val="73ED6548"/>
    <w:rsid w:val="76A11D1E"/>
    <w:rsid w:val="7A692CBC"/>
    <w:rsid w:val="7AA333E6"/>
    <w:rsid w:val="7ACC4FF7"/>
    <w:rsid w:val="7AED0BF8"/>
    <w:rsid w:val="7DAF0886"/>
    <w:rsid w:val="7E770E5C"/>
    <w:rsid w:val="7FB2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qFormat="1" w:unhideWhenUsed="0" w:uiPriority="0" w:semiHidden="0"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5">
    <w:name w:val="heading 1"/>
    <w:basedOn w:val="1"/>
    <w:next w:val="1"/>
    <w:link w:val="39"/>
    <w:qFormat/>
    <w:uiPriority w:val="0"/>
    <w:pPr>
      <w:keepNext/>
      <w:keepLines/>
      <w:spacing w:before="340" w:after="330" w:line="578" w:lineRule="atLeast"/>
      <w:outlineLvl w:val="0"/>
    </w:pPr>
    <w:rPr>
      <w:b/>
      <w:kern w:val="44"/>
      <w:sz w:val="44"/>
    </w:rPr>
  </w:style>
  <w:style w:type="paragraph" w:styleId="6">
    <w:name w:val="heading 2"/>
    <w:basedOn w:val="1"/>
    <w:next w:val="1"/>
    <w:link w:val="40"/>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7">
    <w:name w:val="heading 3"/>
    <w:basedOn w:val="1"/>
    <w:next w:val="8"/>
    <w:link w:val="41"/>
    <w:qFormat/>
    <w:uiPriority w:val="0"/>
    <w:pPr>
      <w:keepNext/>
      <w:keepLines/>
      <w:spacing w:before="260" w:after="260" w:line="416" w:lineRule="atLeast"/>
      <w:outlineLvl w:val="2"/>
    </w:pPr>
    <w:rPr>
      <w:b/>
      <w:sz w:val="32"/>
    </w:rPr>
  </w:style>
  <w:style w:type="paragraph" w:styleId="9">
    <w:name w:val="heading 4"/>
    <w:basedOn w:val="1"/>
    <w:next w:val="10"/>
    <w:link w:val="42"/>
    <w:qFormat/>
    <w:uiPriority w:val="0"/>
    <w:pPr>
      <w:keepNext/>
      <w:keepLines/>
      <w:autoSpaceDE/>
      <w:autoSpaceDN/>
      <w:adjustRightInd/>
      <w:spacing w:before="120" w:after="120" w:line="240" w:lineRule="auto"/>
      <w:textAlignment w:val="auto"/>
      <w:outlineLvl w:val="3"/>
    </w:pPr>
    <w:rPr>
      <w:rFonts w:ascii="Arial" w:hAnsi="Arial"/>
      <w:kern w:val="2"/>
      <w:sz w:val="30"/>
    </w:rPr>
  </w:style>
  <w:style w:type="paragraph" w:styleId="11">
    <w:name w:val="heading 5"/>
    <w:basedOn w:val="1"/>
    <w:next w:val="10"/>
    <w:link w:val="43"/>
    <w:qFormat/>
    <w:uiPriority w:val="0"/>
    <w:pPr>
      <w:keepNext/>
      <w:keepLines/>
      <w:autoSpaceDE/>
      <w:autoSpaceDN/>
      <w:adjustRightInd/>
      <w:spacing w:before="120" w:after="120" w:line="240" w:lineRule="auto"/>
      <w:textAlignment w:val="auto"/>
      <w:outlineLvl w:val="4"/>
    </w:pPr>
    <w:rPr>
      <w:rFonts w:ascii="小标宋"/>
      <w:kern w:val="2"/>
      <w:sz w:val="24"/>
    </w:rPr>
  </w:style>
  <w:style w:type="paragraph" w:styleId="12">
    <w:name w:val="heading 6"/>
    <w:basedOn w:val="1"/>
    <w:next w:val="10"/>
    <w:link w:val="44"/>
    <w:qFormat/>
    <w:uiPriority w:val="0"/>
    <w:pPr>
      <w:keepNext/>
      <w:keepLines/>
      <w:autoSpaceDE/>
      <w:autoSpaceDN/>
      <w:adjustRightInd/>
      <w:spacing w:before="240" w:after="64" w:line="317" w:lineRule="auto"/>
      <w:textAlignment w:val="auto"/>
      <w:outlineLvl w:val="5"/>
    </w:pPr>
    <w:rPr>
      <w:rFonts w:ascii="Arial" w:hAnsi="Arial" w:eastAsia="黑体"/>
      <w:kern w:val="2"/>
      <w:sz w:val="24"/>
    </w:rPr>
  </w:style>
  <w:style w:type="paragraph" w:styleId="13">
    <w:name w:val="heading 7"/>
    <w:basedOn w:val="1"/>
    <w:next w:val="10"/>
    <w:link w:val="45"/>
    <w:qFormat/>
    <w:uiPriority w:val="0"/>
    <w:pPr>
      <w:keepNext/>
      <w:keepLines/>
      <w:autoSpaceDE/>
      <w:autoSpaceDN/>
      <w:adjustRightInd/>
      <w:spacing w:before="240" w:after="64" w:line="317" w:lineRule="auto"/>
      <w:textAlignment w:val="auto"/>
      <w:outlineLvl w:val="6"/>
    </w:pPr>
    <w:rPr>
      <w:rFonts w:ascii="宋体"/>
      <w:kern w:val="2"/>
      <w:sz w:val="24"/>
    </w:rPr>
  </w:style>
  <w:style w:type="paragraph" w:styleId="14">
    <w:name w:val="heading 8"/>
    <w:basedOn w:val="1"/>
    <w:next w:val="10"/>
    <w:link w:val="46"/>
    <w:qFormat/>
    <w:uiPriority w:val="0"/>
    <w:pPr>
      <w:keepNext/>
      <w:keepLines/>
      <w:autoSpaceDE/>
      <w:autoSpaceDN/>
      <w:adjustRightInd/>
      <w:spacing w:before="240" w:after="64" w:line="317" w:lineRule="auto"/>
      <w:textAlignment w:val="auto"/>
      <w:outlineLvl w:val="7"/>
    </w:pPr>
    <w:rPr>
      <w:rFonts w:ascii="Arial" w:hAnsi="Arial" w:eastAsia="黑体"/>
      <w:b/>
      <w:kern w:val="2"/>
      <w:sz w:val="24"/>
    </w:rPr>
  </w:style>
  <w:style w:type="paragraph" w:styleId="15">
    <w:name w:val="heading 9"/>
    <w:basedOn w:val="1"/>
    <w:next w:val="10"/>
    <w:link w:val="47"/>
    <w:qFormat/>
    <w:uiPriority w:val="0"/>
    <w:pPr>
      <w:keepNext/>
      <w:keepLines/>
      <w:autoSpaceDE/>
      <w:autoSpaceDN/>
      <w:adjustRightInd/>
      <w:spacing w:before="240" w:after="64" w:line="317" w:lineRule="auto"/>
      <w:textAlignment w:val="auto"/>
      <w:outlineLvl w:val="8"/>
    </w:pPr>
    <w:rPr>
      <w:rFonts w:ascii="Arial" w:hAnsi="Arial" w:eastAsia="黑体"/>
      <w:b/>
      <w:kern w:val="2"/>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ind w:left="450" w:firstLine="420" w:firstLineChars="200"/>
    </w:pPr>
    <w:rPr>
      <w:rFonts w:ascii="Calibri" w:hAnsi="Calibri"/>
    </w:rPr>
  </w:style>
  <w:style w:type="paragraph" w:styleId="3">
    <w:name w:val="Body Text Indent"/>
    <w:basedOn w:val="1"/>
    <w:next w:val="4"/>
    <w:link w:val="51"/>
    <w:qFormat/>
    <w:uiPriority w:val="0"/>
    <w:pPr>
      <w:autoSpaceDE/>
      <w:autoSpaceDN/>
      <w:spacing w:line="360" w:lineRule="atLeast"/>
      <w:ind w:firstLine="480"/>
      <w:jc w:val="left"/>
    </w:pPr>
    <w:rPr>
      <w:sz w:val="24"/>
    </w:rPr>
  </w:style>
  <w:style w:type="paragraph" w:styleId="4">
    <w:name w:val="envelope return"/>
    <w:basedOn w:val="1"/>
    <w:qFormat/>
    <w:uiPriority w:val="0"/>
    <w:rPr>
      <w:rFonts w:ascii="Arial" w:hAnsi="Arial" w:cs="Arial"/>
    </w:rPr>
  </w:style>
  <w:style w:type="paragraph" w:styleId="8">
    <w:name w:val="Body Text"/>
    <w:basedOn w:val="1"/>
    <w:link w:val="48"/>
    <w:qFormat/>
    <w:uiPriority w:val="0"/>
    <w:pPr>
      <w:spacing w:line="480" w:lineRule="atLeast"/>
      <w:ind w:right="238"/>
      <w:jc w:val="left"/>
    </w:pPr>
    <w:rPr>
      <w:rFonts w:ascii="仿宋_GB2312" w:eastAsia="仿宋_GB2312"/>
      <w:sz w:val="28"/>
    </w:rPr>
  </w:style>
  <w:style w:type="paragraph" w:styleId="10">
    <w:name w:val="Normal Indent"/>
    <w:basedOn w:val="1"/>
    <w:qFormat/>
    <w:uiPriority w:val="0"/>
    <w:pPr>
      <w:ind w:firstLine="420"/>
    </w:pPr>
  </w:style>
  <w:style w:type="paragraph" w:styleId="16">
    <w:name w:val="Document Map"/>
    <w:basedOn w:val="1"/>
    <w:link w:val="49"/>
    <w:qFormat/>
    <w:uiPriority w:val="0"/>
    <w:pPr>
      <w:shd w:val="clear" w:color="auto" w:fill="000080"/>
    </w:pPr>
  </w:style>
  <w:style w:type="paragraph" w:styleId="17">
    <w:name w:val="annotation text"/>
    <w:basedOn w:val="1"/>
    <w:next w:val="18"/>
    <w:link w:val="50"/>
    <w:qFormat/>
    <w:uiPriority w:val="0"/>
    <w:pPr>
      <w:jc w:val="left"/>
    </w:pPr>
  </w:style>
  <w:style w:type="paragraph" w:styleId="18">
    <w:name w:val="Balloon Text"/>
    <w:basedOn w:val="1"/>
    <w:link w:val="55"/>
    <w:qFormat/>
    <w:uiPriority w:val="0"/>
    <w:rPr>
      <w:sz w:val="18"/>
      <w:szCs w:val="18"/>
    </w:rPr>
  </w:style>
  <w:style w:type="paragraph" w:styleId="19">
    <w:name w:val="toc 5"/>
    <w:basedOn w:val="1"/>
    <w:next w:val="1"/>
    <w:qFormat/>
    <w:uiPriority w:val="0"/>
    <w:pPr>
      <w:autoSpaceDE/>
      <w:autoSpaceDN/>
      <w:spacing w:line="360" w:lineRule="atLeast"/>
      <w:ind w:left="1680"/>
      <w:jc w:val="left"/>
    </w:pPr>
    <w:rPr>
      <w:sz w:val="24"/>
    </w:rPr>
  </w:style>
  <w:style w:type="paragraph" w:styleId="20">
    <w:name w:val="toc 3"/>
    <w:basedOn w:val="1"/>
    <w:next w:val="1"/>
    <w:qFormat/>
    <w:uiPriority w:val="0"/>
    <w:pPr>
      <w:tabs>
        <w:tab w:val="left" w:pos="1260"/>
        <w:tab w:val="left" w:pos="1680"/>
        <w:tab w:val="right" w:leader="dot" w:pos="8040"/>
      </w:tabs>
      <w:autoSpaceDE/>
      <w:autoSpaceDN/>
      <w:spacing w:after="120" w:line="360" w:lineRule="auto"/>
      <w:ind w:left="839" w:hanging="839"/>
      <w:jc w:val="left"/>
    </w:pPr>
    <w:rPr>
      <w:b/>
      <w:sz w:val="24"/>
    </w:rPr>
  </w:style>
  <w:style w:type="paragraph" w:styleId="21">
    <w:name w:val="Plain Text"/>
    <w:basedOn w:val="1"/>
    <w:link w:val="52"/>
    <w:qFormat/>
    <w:uiPriority w:val="0"/>
    <w:pPr>
      <w:autoSpaceDE/>
      <w:autoSpaceDN/>
      <w:adjustRightInd/>
      <w:spacing w:line="240" w:lineRule="auto"/>
      <w:textAlignment w:val="auto"/>
    </w:pPr>
    <w:rPr>
      <w:rFonts w:ascii="宋体" w:hAnsi="Courier New"/>
      <w:kern w:val="2"/>
    </w:rPr>
  </w:style>
  <w:style w:type="paragraph" w:styleId="22">
    <w:name w:val="Date"/>
    <w:basedOn w:val="1"/>
    <w:next w:val="1"/>
    <w:link w:val="53"/>
    <w:qFormat/>
    <w:uiPriority w:val="0"/>
    <w:pPr>
      <w:jc w:val="right"/>
    </w:pPr>
    <w:rPr>
      <w:sz w:val="28"/>
    </w:rPr>
  </w:style>
  <w:style w:type="paragraph" w:styleId="23">
    <w:name w:val="Body Text Indent 2"/>
    <w:basedOn w:val="1"/>
    <w:link w:val="54"/>
    <w:qFormat/>
    <w:uiPriority w:val="0"/>
    <w:pPr>
      <w:autoSpaceDE/>
      <w:autoSpaceDN/>
      <w:spacing w:line="360" w:lineRule="auto"/>
      <w:ind w:firstLine="425"/>
      <w:jc w:val="left"/>
    </w:pPr>
    <w:rPr>
      <w:sz w:val="24"/>
    </w:rPr>
  </w:style>
  <w:style w:type="paragraph" w:styleId="24">
    <w:name w:val="footer"/>
    <w:basedOn w:val="1"/>
    <w:link w:val="38"/>
    <w:unhideWhenUsed/>
    <w:qFormat/>
    <w:uiPriority w:val="0"/>
    <w:pPr>
      <w:tabs>
        <w:tab w:val="center" w:pos="4153"/>
        <w:tab w:val="right" w:pos="8306"/>
      </w:tabs>
      <w:snapToGrid w:val="0"/>
      <w:jc w:val="left"/>
    </w:pPr>
    <w:rPr>
      <w:sz w:val="18"/>
      <w:szCs w:val="18"/>
    </w:rPr>
  </w:style>
  <w:style w:type="paragraph" w:styleId="25">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autoSpaceDE/>
      <w:autoSpaceDN/>
      <w:spacing w:after="120" w:line="240" w:lineRule="auto"/>
      <w:jc w:val="left"/>
    </w:pPr>
    <w:rPr>
      <w:sz w:val="24"/>
    </w:rPr>
  </w:style>
  <w:style w:type="paragraph" w:styleId="27">
    <w:name w:val="toc 6"/>
    <w:basedOn w:val="1"/>
    <w:next w:val="1"/>
    <w:qFormat/>
    <w:uiPriority w:val="0"/>
    <w:pPr>
      <w:ind w:left="2100"/>
    </w:pPr>
    <w:rPr>
      <w:rFonts w:hint="eastAsia"/>
    </w:rPr>
  </w:style>
  <w:style w:type="paragraph" w:styleId="28">
    <w:name w:val="toc 2"/>
    <w:basedOn w:val="1"/>
    <w:next w:val="1"/>
    <w:qFormat/>
    <w:uiPriority w:val="0"/>
    <w:pPr>
      <w:ind w:left="420" w:leftChars="200"/>
    </w:pPr>
  </w:style>
  <w:style w:type="paragraph" w:styleId="29">
    <w:name w:val="Body Text 2"/>
    <w:basedOn w:val="1"/>
    <w:link w:val="56"/>
    <w:qFormat/>
    <w:uiPriority w:val="0"/>
    <w:pPr>
      <w:spacing w:after="120" w:line="480" w:lineRule="auto"/>
    </w:pPr>
  </w:style>
  <w:style w:type="paragraph" w:styleId="30">
    <w:name w:val="Normal (Web)"/>
    <w:basedOn w:val="1"/>
    <w:qFormat/>
    <w:uiPriority w:val="0"/>
    <w:pPr>
      <w:spacing w:before="100" w:beforeAutospacing="1" w:after="100" w:afterAutospacing="1"/>
      <w:jc w:val="left"/>
    </w:pPr>
    <w:rPr>
      <w:sz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sz w:val="20"/>
    </w:rPr>
  </w:style>
  <w:style w:type="character" w:styleId="35">
    <w:name w:val="FollowedHyperlink"/>
    <w:basedOn w:val="33"/>
    <w:semiHidden/>
    <w:unhideWhenUsed/>
    <w:qFormat/>
    <w:uiPriority w:val="99"/>
    <w:rPr>
      <w:rFonts w:hint="default" w:ascii="Arial" w:hAnsi="Arial" w:eastAsia="Arial" w:cs="Arial"/>
      <w:color w:val="333333"/>
      <w:sz w:val="21"/>
      <w:szCs w:val="21"/>
      <w:u w:val="none"/>
    </w:rPr>
  </w:style>
  <w:style w:type="character" w:styleId="36">
    <w:name w:val="Hyperlink"/>
    <w:qFormat/>
    <w:uiPriority w:val="0"/>
    <w:rPr>
      <w:color w:val="0000FF"/>
      <w:u w:val="single"/>
    </w:rPr>
  </w:style>
  <w:style w:type="character" w:customStyle="1" w:styleId="37">
    <w:name w:val="页眉 Char"/>
    <w:basedOn w:val="33"/>
    <w:link w:val="25"/>
    <w:qFormat/>
    <w:uiPriority w:val="0"/>
    <w:rPr>
      <w:sz w:val="18"/>
      <w:szCs w:val="18"/>
    </w:rPr>
  </w:style>
  <w:style w:type="character" w:customStyle="1" w:styleId="38">
    <w:name w:val="页脚 Char"/>
    <w:basedOn w:val="33"/>
    <w:link w:val="24"/>
    <w:qFormat/>
    <w:uiPriority w:val="0"/>
    <w:rPr>
      <w:sz w:val="18"/>
      <w:szCs w:val="18"/>
    </w:rPr>
  </w:style>
  <w:style w:type="character" w:customStyle="1" w:styleId="39">
    <w:name w:val="标题 1 Char"/>
    <w:basedOn w:val="33"/>
    <w:link w:val="5"/>
    <w:qFormat/>
    <w:uiPriority w:val="0"/>
    <w:rPr>
      <w:rFonts w:ascii="Times New Roman" w:hAnsi="Times New Roman" w:eastAsia="宋体" w:cs="Times New Roman"/>
      <w:b/>
      <w:kern w:val="44"/>
      <w:sz w:val="44"/>
      <w:szCs w:val="20"/>
    </w:rPr>
  </w:style>
  <w:style w:type="character" w:customStyle="1" w:styleId="40">
    <w:name w:val="标题 2 Char"/>
    <w:basedOn w:val="33"/>
    <w:link w:val="6"/>
    <w:qFormat/>
    <w:uiPriority w:val="0"/>
    <w:rPr>
      <w:rFonts w:ascii="Arial" w:hAnsi="Arial" w:eastAsia="黑体" w:cs="Times New Roman"/>
      <w:b/>
      <w:spacing w:val="10"/>
      <w:kern w:val="0"/>
      <w:sz w:val="32"/>
      <w:szCs w:val="20"/>
    </w:rPr>
  </w:style>
  <w:style w:type="character" w:customStyle="1" w:styleId="41">
    <w:name w:val="标题 3 Char"/>
    <w:basedOn w:val="33"/>
    <w:link w:val="7"/>
    <w:qFormat/>
    <w:uiPriority w:val="0"/>
    <w:rPr>
      <w:rFonts w:ascii="Times New Roman" w:hAnsi="Times New Roman" w:eastAsia="宋体" w:cs="Times New Roman"/>
      <w:b/>
      <w:kern w:val="0"/>
      <w:sz w:val="32"/>
      <w:szCs w:val="20"/>
    </w:rPr>
  </w:style>
  <w:style w:type="character" w:customStyle="1" w:styleId="42">
    <w:name w:val="标题 4 Char"/>
    <w:basedOn w:val="33"/>
    <w:link w:val="9"/>
    <w:qFormat/>
    <w:uiPriority w:val="0"/>
    <w:rPr>
      <w:rFonts w:ascii="Arial" w:hAnsi="Arial" w:eastAsia="宋体" w:cs="Times New Roman"/>
      <w:sz w:val="30"/>
      <w:szCs w:val="20"/>
    </w:rPr>
  </w:style>
  <w:style w:type="character" w:customStyle="1" w:styleId="43">
    <w:name w:val="标题 5 Char"/>
    <w:basedOn w:val="33"/>
    <w:link w:val="11"/>
    <w:qFormat/>
    <w:uiPriority w:val="0"/>
    <w:rPr>
      <w:rFonts w:ascii="小标宋" w:hAnsi="Times New Roman" w:eastAsia="宋体" w:cs="Times New Roman"/>
      <w:sz w:val="24"/>
      <w:szCs w:val="20"/>
    </w:rPr>
  </w:style>
  <w:style w:type="character" w:customStyle="1" w:styleId="44">
    <w:name w:val="标题 6 Char"/>
    <w:basedOn w:val="33"/>
    <w:link w:val="12"/>
    <w:qFormat/>
    <w:uiPriority w:val="0"/>
    <w:rPr>
      <w:rFonts w:ascii="Arial" w:hAnsi="Arial" w:eastAsia="黑体" w:cs="Times New Roman"/>
      <w:sz w:val="24"/>
      <w:szCs w:val="20"/>
    </w:rPr>
  </w:style>
  <w:style w:type="character" w:customStyle="1" w:styleId="45">
    <w:name w:val="标题 7 Char"/>
    <w:basedOn w:val="33"/>
    <w:link w:val="13"/>
    <w:qFormat/>
    <w:uiPriority w:val="0"/>
    <w:rPr>
      <w:rFonts w:ascii="宋体" w:hAnsi="Times New Roman" w:eastAsia="宋体" w:cs="Times New Roman"/>
      <w:sz w:val="24"/>
      <w:szCs w:val="20"/>
    </w:rPr>
  </w:style>
  <w:style w:type="character" w:customStyle="1" w:styleId="46">
    <w:name w:val="标题 8 Char"/>
    <w:basedOn w:val="33"/>
    <w:link w:val="14"/>
    <w:qFormat/>
    <w:uiPriority w:val="0"/>
    <w:rPr>
      <w:rFonts w:ascii="Arial" w:hAnsi="Arial" w:eastAsia="黑体" w:cs="Times New Roman"/>
      <w:b/>
      <w:sz w:val="24"/>
      <w:szCs w:val="20"/>
    </w:rPr>
  </w:style>
  <w:style w:type="character" w:customStyle="1" w:styleId="47">
    <w:name w:val="标题 9 Char"/>
    <w:basedOn w:val="33"/>
    <w:link w:val="15"/>
    <w:qFormat/>
    <w:uiPriority w:val="0"/>
    <w:rPr>
      <w:rFonts w:ascii="Arial" w:hAnsi="Arial" w:eastAsia="黑体" w:cs="Times New Roman"/>
      <w:b/>
      <w:sz w:val="24"/>
      <w:szCs w:val="20"/>
    </w:rPr>
  </w:style>
  <w:style w:type="character" w:customStyle="1" w:styleId="48">
    <w:name w:val="正文文本 Char"/>
    <w:basedOn w:val="33"/>
    <w:link w:val="8"/>
    <w:qFormat/>
    <w:uiPriority w:val="0"/>
    <w:rPr>
      <w:rFonts w:ascii="仿宋_GB2312" w:hAnsi="Times New Roman" w:eastAsia="仿宋_GB2312" w:cs="Times New Roman"/>
      <w:kern w:val="0"/>
      <w:sz w:val="28"/>
      <w:szCs w:val="20"/>
    </w:rPr>
  </w:style>
  <w:style w:type="character" w:customStyle="1" w:styleId="49">
    <w:name w:val="文档结构图 Char"/>
    <w:basedOn w:val="33"/>
    <w:link w:val="16"/>
    <w:qFormat/>
    <w:uiPriority w:val="0"/>
    <w:rPr>
      <w:rFonts w:ascii="Times New Roman" w:hAnsi="Times New Roman" w:eastAsia="宋体" w:cs="Times New Roman"/>
      <w:kern w:val="0"/>
      <w:szCs w:val="20"/>
      <w:shd w:val="clear" w:color="auto" w:fill="000080"/>
    </w:rPr>
  </w:style>
  <w:style w:type="character" w:customStyle="1" w:styleId="50">
    <w:name w:val="批注文字 Char"/>
    <w:basedOn w:val="33"/>
    <w:link w:val="17"/>
    <w:qFormat/>
    <w:uiPriority w:val="0"/>
    <w:rPr>
      <w:rFonts w:ascii="Times New Roman" w:hAnsi="Times New Roman" w:eastAsia="宋体" w:cs="Times New Roman"/>
      <w:kern w:val="0"/>
      <w:szCs w:val="20"/>
    </w:rPr>
  </w:style>
  <w:style w:type="character" w:customStyle="1" w:styleId="51">
    <w:name w:val="正文文本缩进 Char"/>
    <w:basedOn w:val="33"/>
    <w:link w:val="3"/>
    <w:qFormat/>
    <w:uiPriority w:val="0"/>
    <w:rPr>
      <w:rFonts w:ascii="Times New Roman" w:hAnsi="Times New Roman" w:eastAsia="宋体" w:cs="Times New Roman"/>
      <w:kern w:val="0"/>
      <w:sz w:val="24"/>
      <w:szCs w:val="20"/>
    </w:rPr>
  </w:style>
  <w:style w:type="character" w:customStyle="1" w:styleId="52">
    <w:name w:val="纯文本 Char"/>
    <w:basedOn w:val="33"/>
    <w:link w:val="21"/>
    <w:qFormat/>
    <w:uiPriority w:val="0"/>
    <w:rPr>
      <w:rFonts w:ascii="宋体" w:hAnsi="Courier New" w:eastAsia="宋体" w:cs="Times New Roman"/>
      <w:szCs w:val="20"/>
    </w:rPr>
  </w:style>
  <w:style w:type="character" w:customStyle="1" w:styleId="53">
    <w:name w:val="日期 Char"/>
    <w:basedOn w:val="33"/>
    <w:link w:val="22"/>
    <w:qFormat/>
    <w:uiPriority w:val="0"/>
    <w:rPr>
      <w:rFonts w:ascii="Times New Roman" w:hAnsi="Times New Roman" w:eastAsia="宋体" w:cs="Times New Roman"/>
      <w:kern w:val="0"/>
      <w:sz w:val="28"/>
      <w:szCs w:val="20"/>
    </w:rPr>
  </w:style>
  <w:style w:type="character" w:customStyle="1" w:styleId="54">
    <w:name w:val="正文文本缩进 2 Char"/>
    <w:basedOn w:val="33"/>
    <w:link w:val="23"/>
    <w:qFormat/>
    <w:uiPriority w:val="0"/>
    <w:rPr>
      <w:rFonts w:ascii="Times New Roman" w:hAnsi="Times New Roman" w:eastAsia="宋体" w:cs="Times New Roman"/>
      <w:kern w:val="0"/>
      <w:sz w:val="24"/>
      <w:szCs w:val="20"/>
    </w:rPr>
  </w:style>
  <w:style w:type="character" w:customStyle="1" w:styleId="55">
    <w:name w:val="批注框文本 Char"/>
    <w:basedOn w:val="33"/>
    <w:link w:val="18"/>
    <w:qFormat/>
    <w:uiPriority w:val="0"/>
    <w:rPr>
      <w:rFonts w:ascii="Times New Roman" w:hAnsi="Times New Roman" w:eastAsia="宋体" w:cs="Times New Roman"/>
      <w:kern w:val="0"/>
      <w:sz w:val="18"/>
      <w:szCs w:val="18"/>
    </w:rPr>
  </w:style>
  <w:style w:type="character" w:customStyle="1" w:styleId="56">
    <w:name w:val="正文文本 2 Char"/>
    <w:basedOn w:val="33"/>
    <w:link w:val="29"/>
    <w:qFormat/>
    <w:uiPriority w:val="0"/>
    <w:rPr>
      <w:rFonts w:ascii="Times New Roman" w:hAnsi="Times New Roman" w:eastAsia="宋体" w:cs="Times New Roman"/>
      <w:kern w:val="0"/>
      <w:szCs w:val="20"/>
    </w:rPr>
  </w:style>
  <w:style w:type="character" w:customStyle="1" w:styleId="57">
    <w:name w:val="样式2 Char"/>
    <w:qFormat/>
    <w:uiPriority w:val="0"/>
    <w:rPr>
      <w:rFonts w:eastAsia="宋体"/>
      <w:sz w:val="24"/>
      <w:lang w:val="en-US" w:eastAsia="zh-CN" w:bidi="ar-SA"/>
    </w:rPr>
  </w:style>
  <w:style w:type="character" w:customStyle="1" w:styleId="58">
    <w:name w:val="样式2 Char1"/>
    <w:link w:val="59"/>
    <w:qFormat/>
    <w:uiPriority w:val="0"/>
    <w:rPr>
      <w:rFonts w:eastAsia="宋体"/>
      <w:sz w:val="24"/>
    </w:rPr>
  </w:style>
  <w:style w:type="paragraph" w:customStyle="1" w:styleId="59">
    <w:name w:val="样式2"/>
    <w:basedOn w:val="1"/>
    <w:link w:val="58"/>
    <w:qFormat/>
    <w:uiPriority w:val="0"/>
    <w:pPr>
      <w:autoSpaceDE/>
      <w:autoSpaceDN/>
      <w:spacing w:line="410" w:lineRule="atLeast"/>
      <w:jc w:val="left"/>
    </w:pPr>
    <w:rPr>
      <w:rFonts w:asciiTheme="minorHAnsi" w:hAnsiTheme="minorHAnsi" w:cstheme="minorBidi"/>
      <w:kern w:val="2"/>
      <w:sz w:val="24"/>
      <w:szCs w:val="22"/>
    </w:rPr>
  </w:style>
  <w:style w:type="paragraph" w:customStyle="1" w:styleId="60">
    <w:name w:val="_Style 10"/>
    <w:basedOn w:val="1"/>
    <w:qFormat/>
    <w:uiPriority w:val="34"/>
    <w:pPr>
      <w:ind w:firstLine="420" w:firstLineChars="200"/>
    </w:pPr>
    <w:rPr>
      <w:szCs w:val="24"/>
    </w:rPr>
  </w:style>
  <w:style w:type="paragraph" w:customStyle="1" w:styleId="61">
    <w:name w:val="标题3"/>
    <w:basedOn w:val="7"/>
    <w:qFormat/>
    <w:uiPriority w:val="0"/>
    <w:pPr>
      <w:keepLines w:val="0"/>
      <w:tabs>
        <w:tab w:val="left" w:pos="840"/>
      </w:tabs>
      <w:spacing w:before="0" w:after="0" w:line="360" w:lineRule="auto"/>
    </w:pPr>
    <w:rPr>
      <w:rFonts w:ascii="宋体"/>
      <w:b w:val="0"/>
      <w:color w:val="000000"/>
      <w:sz w:val="24"/>
    </w:rPr>
  </w:style>
  <w:style w:type="paragraph" w:customStyle="1" w:styleId="62">
    <w:name w:val="用户标题1"/>
    <w:basedOn w:val="63"/>
    <w:qFormat/>
    <w:uiPriority w:val="0"/>
    <w:rPr>
      <w:b/>
      <w:bCs/>
    </w:rPr>
  </w:style>
  <w:style w:type="paragraph" w:customStyle="1" w:styleId="63">
    <w:name w:val="用户正文1"/>
    <w:qFormat/>
    <w:uiPriority w:val="0"/>
    <w:pPr>
      <w:spacing w:line="360" w:lineRule="auto"/>
      <w:ind w:firstLine="573"/>
      <w:jc w:val="both"/>
      <w:textAlignment w:val="center"/>
    </w:pPr>
    <w:rPr>
      <w:rFonts w:ascii="Times New Roman" w:hAnsi="Times New Roman" w:eastAsia="宋体" w:cs="Times New Roman"/>
      <w:sz w:val="30"/>
      <w:szCs w:val="30"/>
      <w:lang w:val="en-US" w:eastAsia="zh-CN" w:bidi="ar-SA"/>
    </w:rPr>
  </w:style>
  <w:style w:type="paragraph" w:customStyle="1" w:styleId="64">
    <w:name w:val="列出段落1"/>
    <w:basedOn w:val="1"/>
    <w:qFormat/>
    <w:uiPriority w:val="99"/>
    <w:pPr>
      <w:ind w:firstLine="420" w:firstLineChars="200"/>
    </w:pPr>
  </w:style>
  <w:style w:type="paragraph" w:customStyle="1" w:styleId="65">
    <w:name w:val="标题1 Char Char Char"/>
    <w:basedOn w:val="5"/>
    <w:qFormat/>
    <w:uiPriority w:val="0"/>
    <w:pPr>
      <w:tabs>
        <w:tab w:val="center" w:pos="4512"/>
        <w:tab w:val="center" w:pos="4606"/>
      </w:tabs>
      <w:snapToGrid w:val="0"/>
      <w:spacing w:before="0" w:after="120" w:afterLines="50" w:line="360" w:lineRule="auto"/>
    </w:pPr>
    <w:rPr>
      <w:rFonts w:ascii="宋体" w:hAnsi="宋体"/>
      <w:sz w:val="30"/>
      <w:szCs w:val="30"/>
    </w:rPr>
  </w:style>
  <w:style w:type="paragraph" w:customStyle="1" w:styleId="66">
    <w:name w:val="样式3"/>
    <w:basedOn w:val="21"/>
    <w:qFormat/>
    <w:uiPriority w:val="0"/>
    <w:pPr>
      <w:spacing w:line="0" w:lineRule="atLeast"/>
      <w:outlineLvl w:val="0"/>
    </w:pPr>
    <w:rPr>
      <w:sz w:val="28"/>
    </w:rPr>
  </w:style>
  <w:style w:type="paragraph" w:customStyle="1" w:styleId="67">
    <w:name w:val="标题4"/>
    <w:basedOn w:val="9"/>
    <w:qFormat/>
    <w:uiPriority w:val="0"/>
    <w:pPr>
      <w:keepLines w:val="0"/>
      <w:spacing w:before="0" w:after="0" w:line="360" w:lineRule="auto"/>
      <w:ind w:firstLine="360" w:firstLineChars="150"/>
    </w:pPr>
    <w:rPr>
      <w:b/>
      <w:sz w:val="24"/>
      <w:szCs w:val="24"/>
    </w:rPr>
  </w:style>
  <w:style w:type="paragraph" w:customStyle="1" w:styleId="6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标题 2 居中"/>
    <w:basedOn w:val="6"/>
    <w:qFormat/>
    <w:uiPriority w:val="0"/>
    <w:pPr>
      <w:jc w:val="center"/>
    </w:pPr>
    <w:rPr>
      <w:rFonts w:ascii="宋体" w:hAnsi="宋体"/>
    </w:rPr>
  </w:style>
  <w:style w:type="paragraph" w:customStyle="1" w:styleId="70">
    <w:name w:val="表格居中"/>
    <w:basedOn w:val="1"/>
    <w:qFormat/>
    <w:uiPriority w:val="0"/>
    <w:pPr>
      <w:autoSpaceDE/>
      <w:autoSpaceDN/>
      <w:adjustRightInd/>
      <w:snapToGrid w:val="0"/>
      <w:spacing w:line="240" w:lineRule="auto"/>
      <w:jc w:val="center"/>
      <w:textAlignment w:val="auto"/>
    </w:pPr>
    <w:rPr>
      <w:kern w:val="2"/>
    </w:rPr>
  </w:style>
  <w:style w:type="paragraph" w:customStyle="1" w:styleId="71">
    <w:name w:val="正文1"/>
    <w:basedOn w:val="1"/>
    <w:qFormat/>
    <w:uiPriority w:val="0"/>
    <w:pPr>
      <w:autoSpaceDE/>
      <w:autoSpaceDN/>
      <w:spacing w:line="360" w:lineRule="atLeast"/>
      <w:jc w:val="left"/>
    </w:pPr>
    <w:rPr>
      <w:rFonts w:ascii="宋体"/>
      <w:sz w:val="24"/>
    </w:rPr>
  </w:style>
  <w:style w:type="paragraph" w:customStyle="1" w:styleId="7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73">
    <w:name w:val="No Spacing"/>
    <w:qFormat/>
    <w:uiPriority w:val="1"/>
    <w:pPr>
      <w:widowControl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Char Char Char Char Char Char Char Char Char Char Char Char Char Char"/>
    <w:basedOn w:val="1"/>
    <w:qFormat/>
    <w:uiPriority w:val="0"/>
    <w:pPr>
      <w:spacing w:line="360" w:lineRule="auto"/>
      <w:ind w:firstLine="200" w:firstLineChars="200"/>
    </w:p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_Style 37"/>
    <w:basedOn w:val="1"/>
    <w:next w:val="1"/>
    <w:qFormat/>
    <w:uiPriority w:val="0"/>
    <w:pPr>
      <w:spacing w:before="120" w:line="360" w:lineRule="atLeast"/>
      <w:ind w:left="372" w:leftChars="155" w:right="132" w:rightChars="55" w:firstLine="600"/>
      <w:jc w:val="left"/>
    </w:pPr>
    <w:rPr>
      <w:rFonts w:ascii="宋体"/>
      <w:sz w:val="24"/>
    </w:rPr>
  </w:style>
  <w:style w:type="paragraph" w:customStyle="1" w:styleId="79">
    <w:name w:val="样式1"/>
    <w:basedOn w:val="1"/>
    <w:qFormat/>
    <w:uiPriority w:val="0"/>
    <w:pPr>
      <w:autoSpaceDE/>
      <w:autoSpaceDN/>
      <w:spacing w:line="420" w:lineRule="auto"/>
      <w:jc w:val="center"/>
    </w:pPr>
    <w:rPr>
      <w:rFonts w:ascii="宋体"/>
      <w:sz w:val="24"/>
    </w:rPr>
  </w:style>
  <w:style w:type="paragraph" w:customStyle="1" w:styleId="80">
    <w:name w:val="Char1"/>
    <w:basedOn w:val="1"/>
    <w:qFormat/>
    <w:uiPriority w:val="0"/>
    <w:pPr>
      <w:autoSpaceDE/>
      <w:autoSpaceDN/>
      <w:adjustRightInd/>
      <w:spacing w:line="240" w:lineRule="auto"/>
      <w:textAlignment w:val="auto"/>
    </w:pPr>
    <w:rPr>
      <w:kern w:val="2"/>
      <w:szCs w:val="21"/>
    </w:rPr>
  </w:style>
  <w:style w:type="paragraph" w:styleId="81">
    <w:name w:val="List Paragraph"/>
    <w:basedOn w:val="1"/>
    <w:qFormat/>
    <w:uiPriority w:val="34"/>
    <w:pPr>
      <w:ind w:firstLine="420" w:firstLineChars="200"/>
    </w:pPr>
  </w:style>
  <w:style w:type="paragraph" w:customStyle="1" w:styleId="82">
    <w:name w:val="Table Paragraph"/>
    <w:basedOn w:val="1"/>
    <w:qFormat/>
    <w:uiPriority w:val="1"/>
    <w:pPr>
      <w:spacing w:before="142"/>
      <w:ind w:left="137"/>
    </w:pPr>
    <w:rPr>
      <w:rFonts w:ascii="宋体" w:hAnsi="宋体" w:cs="宋体"/>
    </w:rPr>
  </w:style>
  <w:style w:type="paragraph" w:customStyle="1" w:styleId="83">
    <w:name w:val="p0"/>
    <w:basedOn w:val="1"/>
    <w:qFormat/>
    <w:uiPriority w:val="0"/>
    <w:pPr>
      <w:widowControl/>
      <w:jc w:val="left"/>
    </w:pPr>
    <w:rPr>
      <w:rFonts w:ascii="宋体" w:hAnsi="宋体" w:cs="宋体"/>
      <w:sz w:val="24"/>
      <w:szCs w:val="24"/>
    </w:rPr>
  </w:style>
  <w:style w:type="paragraph" w:customStyle="1" w:styleId="84">
    <w:name w:val="Default"/>
    <w:next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5">
    <w:name w:val="hover28"/>
    <w:basedOn w:val="33"/>
    <w:qFormat/>
    <w:uiPriority w:val="0"/>
  </w:style>
  <w:style w:type="character" w:customStyle="1" w:styleId="86">
    <w:name w:val="hover29"/>
    <w:basedOn w:val="33"/>
    <w:qFormat/>
    <w:uiPriority w:val="0"/>
    <w:rPr>
      <w:color w:val="2287D6"/>
      <w:u w:val="single"/>
    </w:rPr>
  </w:style>
  <w:style w:type="character" w:customStyle="1" w:styleId="87">
    <w:name w:val="hover30"/>
    <w:basedOn w:val="33"/>
    <w:qFormat/>
    <w:uiPriority w:val="0"/>
    <w:rPr>
      <w:b/>
      <w:color w:val="C85F10"/>
    </w:rPr>
  </w:style>
  <w:style w:type="character" w:customStyle="1" w:styleId="88">
    <w:name w:val="hover31"/>
    <w:basedOn w:val="33"/>
    <w:qFormat/>
    <w:uiPriority w:val="0"/>
    <w:rPr>
      <w:color w:val="1A85D7"/>
    </w:rPr>
  </w:style>
  <w:style w:type="character" w:customStyle="1" w:styleId="89">
    <w:name w:val="first-child"/>
    <w:basedOn w:val="33"/>
    <w:qFormat/>
    <w:uiPriority w:val="0"/>
  </w:style>
  <w:style w:type="character" w:customStyle="1" w:styleId="90">
    <w:name w:val="hover"/>
    <w:basedOn w:val="33"/>
    <w:qFormat/>
    <w:uiPriority w:val="0"/>
  </w:style>
  <w:style w:type="character" w:customStyle="1" w:styleId="91">
    <w:name w:val="hover1"/>
    <w:basedOn w:val="33"/>
    <w:qFormat/>
    <w:uiPriority w:val="0"/>
    <w:rPr>
      <w:color w:val="2287D6"/>
      <w:u w:val="single"/>
    </w:rPr>
  </w:style>
  <w:style w:type="character" w:customStyle="1" w:styleId="92">
    <w:name w:val="hover2"/>
    <w:basedOn w:val="33"/>
    <w:qFormat/>
    <w:uiPriority w:val="0"/>
    <w:rPr>
      <w:b/>
      <w:color w:val="C85F10"/>
    </w:rPr>
  </w:style>
  <w:style w:type="character" w:customStyle="1" w:styleId="93">
    <w:name w:val="hover3"/>
    <w:basedOn w:val="33"/>
    <w:qFormat/>
    <w:uiPriority w:val="0"/>
    <w:rPr>
      <w:color w:val="1A85D7"/>
    </w:rPr>
  </w:style>
  <w:style w:type="paragraph" w:customStyle="1" w:styleId="94">
    <w:name w:val="苏夏 正文"/>
    <w:basedOn w:val="1"/>
    <w:qFormat/>
    <w:uiPriority w:val="0"/>
    <w:pPr>
      <w:spacing w:line="360" w:lineRule="auto"/>
      <w:ind w:firstLine="482" w:firstLineChars="20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18277</Words>
  <Characters>19476</Characters>
  <Lines>148</Lines>
  <Paragraphs>41</Paragraphs>
  <TotalTime>26</TotalTime>
  <ScaleCrop>false</ScaleCrop>
  <LinksUpToDate>false</LinksUpToDate>
  <CharactersWithSpaces>21157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2022-06-18T15:37:00Z</dcterms:created>
  <dc:creator>Yang</dc:creator>
  <cp:lastModifiedBy>冰封雨心</cp:lastModifiedBy>
  <cp:lastPrinted>2022-12-14T07:05:00Z</cp:lastPrinted>
  <dcterms:modified xsi:type="dcterms:W3CDTF">2022-12-23T00:34:21Z</dcterms:modified>
  <dc:title>水平衡测试</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D7198ABC1BD74A589B9472711B034ED7</vt:lpwstr>
  </property>
</Properties>
</file>