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新阳</w:t>
      </w:r>
      <w:r>
        <w:rPr>
          <w:rFonts w:hint="eastAsia"/>
          <w:b/>
          <w:sz w:val="36"/>
          <w:szCs w:val="36"/>
          <w:lang w:val="en-US" w:eastAsia="zh-CN"/>
        </w:rPr>
        <w:t>事业部</w:t>
      </w:r>
      <w:r>
        <w:rPr>
          <w:rFonts w:hint="eastAsia"/>
          <w:b/>
          <w:sz w:val="36"/>
          <w:szCs w:val="36"/>
        </w:rPr>
        <w:t>氨水采购</w:t>
      </w:r>
      <w:r>
        <w:rPr>
          <w:rFonts w:hint="eastAsia"/>
          <w:sz w:val="36"/>
          <w:szCs w:val="36"/>
        </w:rPr>
        <w:t>项目</w:t>
      </w:r>
    </w:p>
    <w:p>
      <w:pPr>
        <w:jc w:val="center"/>
        <w:rPr>
          <w:sz w:val="36"/>
          <w:szCs w:val="36"/>
        </w:rPr>
      </w:pPr>
    </w:p>
    <w:p>
      <w:pPr>
        <w:kinsoku w:val="0"/>
        <w:overflowPunct w:val="0"/>
        <w:adjustRightInd/>
        <w:spacing w:line="400" w:lineRule="atLeast"/>
        <w:jc w:val="center"/>
        <w:textAlignment w:val="auto"/>
        <w:rPr>
          <w:rFonts w:hint="default" w:ascii="宋体" w:hAnsi="宋体" w:eastAsia="宋体" w:cs="宋体"/>
          <w:b/>
          <w:color w:val="auto"/>
          <w:kern w:val="2"/>
          <w:sz w:val="32"/>
          <w:szCs w:val="22"/>
          <w:highlight w:val="none"/>
          <w:lang w:val="en-US"/>
        </w:rPr>
      </w:pPr>
      <w:r>
        <w:rPr>
          <w:rFonts w:hint="eastAsia" w:ascii="宋体" w:hAnsi="宋体" w:eastAsia="宋体" w:cs="宋体"/>
          <w:b/>
          <w:color w:val="auto"/>
          <w:kern w:val="2"/>
          <w:sz w:val="44"/>
          <w:szCs w:val="44"/>
          <w:highlight w:val="none"/>
          <w:lang w:val="en-US" w:eastAsia="zh-CN"/>
        </w:rPr>
        <w:t>询价文件</w:t>
      </w:r>
    </w:p>
    <w:p>
      <w:pPr>
        <w:jc w:val="center"/>
        <w:rPr>
          <w:sz w:val="52"/>
          <w:szCs w:val="52"/>
        </w:rPr>
      </w:pPr>
    </w:p>
    <w:p>
      <w:pPr>
        <w:jc w:val="center"/>
        <w:rPr>
          <w:sz w:val="52"/>
          <w:szCs w:val="52"/>
        </w:rPr>
      </w:pP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5-02</w:t>
      </w: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5</w:t>
      </w:r>
      <w:r>
        <w:rPr>
          <w:rFonts w:hint="eastAsia"/>
          <w:sz w:val="36"/>
          <w:szCs w:val="36"/>
        </w:rPr>
        <w:t>年</w:t>
      </w:r>
      <w:r>
        <w:rPr>
          <w:rFonts w:hint="eastAsia"/>
          <w:sz w:val="36"/>
          <w:szCs w:val="36"/>
          <w:lang w:val="en-US" w:eastAsia="zh-CN"/>
        </w:rPr>
        <w:t>03</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lang w:val="en-US" w:eastAsia="zh-CN"/>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）环保需求，现进行</w:t>
      </w:r>
      <w:r>
        <w:rPr>
          <w:rFonts w:hint="eastAsia" w:ascii="宋体" w:hAnsi="宋体" w:eastAsia="宋体" w:cs="宋体"/>
          <w:color w:val="FF0000"/>
          <w:kern w:val="0"/>
          <w:sz w:val="24"/>
          <w:szCs w:val="24"/>
          <w:u w:val="single"/>
        </w:rPr>
        <w:t xml:space="preserve"> </w:t>
      </w:r>
      <w:r>
        <w:rPr>
          <w:rFonts w:ascii="宋体" w:hAnsi="宋体" w:eastAsia="宋体" w:cs="宋体"/>
          <w:b/>
          <w:kern w:val="0"/>
          <w:sz w:val="24"/>
          <w:szCs w:val="24"/>
          <w:u w:val="single"/>
        </w:rPr>
        <w:t>202</w:t>
      </w:r>
      <w:r>
        <w:rPr>
          <w:rFonts w:hint="eastAsia" w:ascii="宋体" w:hAnsi="宋体" w:eastAsia="宋体" w:cs="宋体"/>
          <w:b/>
          <w:kern w:val="0"/>
          <w:sz w:val="24"/>
          <w:szCs w:val="24"/>
          <w:u w:val="single"/>
          <w:lang w:val="en-US" w:eastAsia="zh-CN"/>
        </w:rPr>
        <w:t>5</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u w:val="single"/>
        </w:rPr>
        <w:t>月-202</w:t>
      </w:r>
      <w:r>
        <w:rPr>
          <w:rFonts w:hint="eastAsia" w:ascii="宋体" w:hAnsi="宋体" w:eastAsia="宋体" w:cs="宋体"/>
          <w:b/>
          <w:kern w:val="0"/>
          <w:sz w:val="24"/>
          <w:szCs w:val="24"/>
          <w:u w:val="single"/>
          <w:lang w:val="en-US" w:eastAsia="zh-CN"/>
        </w:rPr>
        <w:t>5</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9</w:t>
      </w:r>
      <w:r>
        <w:rPr>
          <w:rFonts w:hint="eastAsia" w:ascii="宋体" w:hAnsi="宋体" w:eastAsia="宋体" w:cs="宋体"/>
          <w:b/>
          <w:kern w:val="0"/>
          <w:sz w:val="24"/>
          <w:szCs w:val="24"/>
        </w:rPr>
        <w:t>月氨水</w:t>
      </w:r>
      <w:r>
        <w:rPr>
          <w:rFonts w:hint="eastAsia" w:ascii="宋体" w:hAnsi="宋体" w:eastAsia="宋体" w:cs="宋体"/>
          <w:color w:val="3A3A3A"/>
          <w:kern w:val="0"/>
          <w:sz w:val="24"/>
          <w:szCs w:val="24"/>
          <w:lang w:val="en-US" w:eastAsia="zh-CN"/>
        </w:rPr>
        <w:t>无限</w:t>
      </w:r>
      <w:r>
        <w:rPr>
          <w:rFonts w:hint="eastAsia" w:ascii="宋体" w:hAnsi="宋体" w:eastAsia="宋体" w:cs="宋体"/>
          <w:color w:val="3A3A3A"/>
          <w:kern w:val="0"/>
          <w:sz w:val="24"/>
          <w:szCs w:val="24"/>
        </w:rPr>
        <w:t>竞争性</w:t>
      </w:r>
      <w:r>
        <w:rPr>
          <w:rFonts w:hint="eastAsia" w:ascii="宋体" w:hAnsi="宋体" w:eastAsia="宋体" w:cs="宋体"/>
          <w:color w:val="3A3A3A"/>
          <w:kern w:val="0"/>
          <w:sz w:val="24"/>
          <w:szCs w:val="24"/>
          <w:lang w:val="en-US" w:eastAsia="zh-CN"/>
        </w:rPr>
        <w:t>询价</w:t>
      </w:r>
      <w:r>
        <w:rPr>
          <w:rFonts w:hint="eastAsia" w:ascii="宋体" w:hAnsi="宋体" w:eastAsia="宋体" w:cs="宋体"/>
          <w:color w:val="3A3A3A"/>
          <w:kern w:val="0"/>
          <w:sz w:val="24"/>
          <w:szCs w:val="24"/>
        </w:rPr>
        <w:t>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新阳</w:t>
      </w:r>
      <w:r>
        <w:rPr>
          <w:rFonts w:hint="eastAsia" w:ascii="宋体" w:hAnsi="宋体" w:eastAsia="宋体" w:cs="宋体"/>
          <w:color w:val="3A3A3A"/>
          <w:kern w:val="0"/>
          <w:sz w:val="24"/>
          <w:szCs w:val="24"/>
          <w:lang w:val="en-US" w:eastAsia="zh-CN"/>
        </w:rPr>
        <w:t>事业部</w:t>
      </w:r>
      <w:r>
        <w:rPr>
          <w:rFonts w:hint="eastAsia" w:ascii="宋体" w:hAnsi="宋体" w:eastAsia="宋体" w:cs="宋体"/>
          <w:color w:val="3A3A3A"/>
          <w:kern w:val="0"/>
          <w:sz w:val="24"/>
          <w:szCs w:val="24"/>
        </w:rPr>
        <w:t>氨水采购</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sz w:val="24"/>
          <w:szCs w:val="24"/>
        </w:rPr>
        <w:t>厦门市海沧区</w:t>
      </w:r>
      <w:r>
        <w:rPr>
          <w:rFonts w:ascii="宋体"/>
          <w:sz w:val="24"/>
          <w:szCs w:val="24"/>
        </w:rPr>
        <w:t>阳光西路</w:t>
      </w:r>
      <w:r>
        <w:rPr>
          <w:rFonts w:hint="eastAsia" w:ascii="宋体"/>
          <w:sz w:val="24"/>
          <w:szCs w:val="24"/>
        </w:rPr>
        <w:t>288号</w:t>
      </w:r>
      <w:r>
        <w:rPr>
          <w:rFonts w:hint="eastAsia" w:ascii="宋体" w:hAnsi="宋体" w:eastAsia="宋体" w:cs="Times New Roman"/>
          <w:sz w:val="24"/>
          <w:szCs w:val="24"/>
        </w:rPr>
        <w:t>（</w:t>
      </w:r>
      <w:r>
        <w:rPr>
          <w:rFonts w:hint="eastAsia" w:ascii="宋体" w:hAnsi="宋体" w:eastAsia="宋体" w:cs="宋体"/>
          <w:color w:val="3A3A3A"/>
          <w:kern w:val="0"/>
          <w:sz w:val="24"/>
          <w:szCs w:val="24"/>
        </w:rPr>
        <w:t>厦门海发</w:t>
      </w:r>
      <w:r>
        <w:rPr>
          <w:rFonts w:ascii="宋体" w:hAnsi="宋体" w:eastAsia="宋体" w:cs="宋体"/>
          <w:color w:val="3A3A3A"/>
          <w:kern w:val="0"/>
          <w:sz w:val="24"/>
          <w:szCs w:val="24"/>
        </w:rPr>
        <w:t>环保能源股份有限公司</w:t>
      </w:r>
      <w:r>
        <w:rPr>
          <w:rFonts w:hint="eastAsia" w:ascii="宋体" w:hAnsi="宋体" w:eastAsia="宋体" w:cs="宋体"/>
          <w:bCs/>
          <w:kern w:val="0"/>
          <w:sz w:val="24"/>
          <w:szCs w:val="24"/>
        </w:rPr>
        <w:t>）</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*2.3报价方须提供</w:t>
      </w: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val="en-US"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伍仟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5</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保证金情形及成交供应商外的报价方</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3.2</w:t>
      </w:r>
      <w:r>
        <w:rPr>
          <w:rFonts w:hint="eastAsia" w:ascii="宋体" w:hAnsi="宋体" w:eastAsia="宋体" w:cs="宋体"/>
          <w:b/>
          <w:bCs w:val="0"/>
          <w:sz w:val="24"/>
          <w:szCs w:val="24"/>
        </w:rPr>
        <w:t>特别说明</w:t>
      </w:r>
      <w:r>
        <w:rPr>
          <w:rFonts w:hint="eastAsia" w:ascii="宋体" w:hAnsi="宋体" w:eastAsia="宋体" w:cs="宋体"/>
          <w:bCs/>
          <w:sz w:val="24"/>
          <w:szCs w:val="24"/>
        </w:rPr>
        <w:t>：</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w:t>
      </w:r>
      <w:r>
        <w:rPr>
          <w:rFonts w:hint="eastAsia" w:ascii="宋体" w:hAnsi="宋体" w:eastAsia="宋体" w:cs="宋体"/>
          <w:b/>
          <w:color w:val="3A3A3A"/>
          <w:kern w:val="0"/>
          <w:sz w:val="24"/>
          <w:szCs w:val="24"/>
          <w:lang w:val="en-US" w:eastAsia="zh-CN"/>
        </w:rPr>
        <w:t>事业部</w:t>
      </w:r>
      <w:r>
        <w:rPr>
          <w:rFonts w:hint="eastAsia" w:ascii="宋体" w:hAnsi="宋体" w:eastAsia="宋体" w:cs="宋体"/>
          <w:b/>
          <w:color w:val="3A3A3A"/>
          <w:kern w:val="0"/>
          <w:sz w:val="24"/>
          <w:szCs w:val="24"/>
        </w:rPr>
        <w:t>氨水</w:t>
      </w:r>
      <w:r>
        <w:rPr>
          <w:rFonts w:hint="eastAsia" w:ascii="宋体" w:hAnsi="宋体" w:eastAsia="宋体" w:cs="宋体"/>
          <w:b/>
          <w:color w:val="3A3A3A"/>
          <w:kern w:val="0"/>
          <w:sz w:val="24"/>
          <w:szCs w:val="24"/>
          <w:lang w:val="en-US" w:eastAsia="zh-CN"/>
        </w:rPr>
        <w:t>采购</w:t>
      </w:r>
      <w:r>
        <w:rPr>
          <w:rFonts w:hint="eastAsia" w:ascii="宋体" w:hAnsi="宋体" w:eastAsia="宋体" w:cs="宋体"/>
          <w:b/>
          <w:color w:val="3A3A3A"/>
          <w:kern w:val="0"/>
          <w:sz w:val="24"/>
          <w:szCs w:val="24"/>
          <w:lang w:eastAsia="zh-CN"/>
        </w:rPr>
        <w:t>询价</w:t>
      </w:r>
      <w:r>
        <w:rPr>
          <w:rFonts w:hint="eastAsia" w:ascii="宋体" w:hAnsi="宋体" w:eastAsia="宋体" w:cs="宋体"/>
          <w:b/>
          <w:color w:val="3A3A3A"/>
          <w:kern w:val="0"/>
          <w:sz w:val="24"/>
          <w:szCs w:val="24"/>
        </w:rPr>
        <w:t>保证金”</w:t>
      </w:r>
      <w:r>
        <w:rPr>
          <w:rFonts w:hint="eastAsia" w:ascii="宋体" w:hAnsi="宋体" w:eastAsia="宋体" w:cs="宋体"/>
          <w:color w:val="3A3A3A"/>
          <w:kern w:val="0"/>
          <w:sz w:val="24"/>
          <w:szCs w:val="24"/>
        </w:rPr>
        <w:t>字样。</w:t>
      </w:r>
    </w:p>
    <w:p>
      <w:pPr>
        <w:widowControl/>
        <w:spacing w:line="480" w:lineRule="auto"/>
        <w:jc w:val="left"/>
        <w:rPr>
          <w:rFonts w:hint="eastAsia" w:ascii="宋体" w:hAnsi="宋体" w:eastAsia="宋体" w:cs="宋体"/>
          <w:color w:val="3A3A3A"/>
          <w:kern w:val="0"/>
          <w:sz w:val="24"/>
          <w:szCs w:val="24"/>
        </w:rPr>
      </w:pPr>
      <w:r>
        <w:rPr>
          <w:rFonts w:ascii="宋体" w:hAnsi="宋体" w:eastAsia="宋体" w:cs="宋体"/>
          <w:color w:val="3A3A3A"/>
          <w:kern w:val="0"/>
          <w:sz w:val="24"/>
          <w:szCs w:val="24"/>
        </w:rPr>
        <w:t>3.4</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开户银行：</w:t>
      </w:r>
      <w:r>
        <w:rPr>
          <w:rFonts w:hint="eastAsia" w:ascii="宋体" w:hAnsi="宋体" w:eastAsia="宋体" w:cs="宋体"/>
          <w:color w:val="3A3A3A"/>
          <w:kern w:val="0"/>
          <w:sz w:val="24"/>
          <w:szCs w:val="24"/>
          <w:lang w:val="en-US" w:eastAsia="zh-CN"/>
        </w:rPr>
        <w:t xml:space="preserve">农业银行新阳支行  </w:t>
      </w:r>
      <w:r>
        <w:rPr>
          <w:rFonts w:hint="eastAsia" w:ascii="宋体" w:hAnsi="宋体" w:eastAsia="宋体" w:cs="宋体"/>
          <w:color w:val="3A3A3A"/>
          <w:kern w:val="0"/>
          <w:sz w:val="24"/>
          <w:szCs w:val="24"/>
        </w:rPr>
        <w:t>账号：</w:t>
      </w:r>
      <w:r>
        <w:rPr>
          <w:rFonts w:hint="eastAsia" w:ascii="宋体" w:hAnsi="宋体" w:eastAsia="宋体" w:cs="宋体"/>
          <w:color w:val="3A3A3A"/>
          <w:kern w:val="0"/>
          <w:sz w:val="24"/>
          <w:szCs w:val="24"/>
          <w:lang w:val="en-US" w:eastAsia="zh-CN"/>
        </w:rPr>
        <w:t xml:space="preserve">40373001040009422  </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3.5</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14</w:t>
      </w:r>
      <w:r>
        <w:rPr>
          <w:rFonts w:hint="eastAsia" w:ascii="宋体" w:hAnsi="宋体" w:eastAsia="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kern w:val="0"/>
          <w:sz w:val="24"/>
          <w:szCs w:val="24"/>
        </w:rPr>
        <w:t>报价文件左侧装订成册，</w:t>
      </w:r>
      <w:r>
        <w:rPr>
          <w:rFonts w:hint="eastAsia" w:ascii="宋体" w:hAnsi="宋体" w:eastAsia="宋体" w:cs="宋体"/>
          <w:b/>
          <w:bCs/>
          <w:kern w:val="0"/>
          <w:sz w:val="24"/>
          <w:szCs w:val="24"/>
          <w:lang w:val="en-US" w:eastAsia="zh-CN"/>
        </w:rPr>
        <w:t>并</w:t>
      </w:r>
      <w:r>
        <w:rPr>
          <w:rFonts w:hint="eastAsia" w:ascii="宋体" w:hAnsi="宋体" w:eastAsia="宋体" w:cs="宋体"/>
          <w:b/>
          <w:bCs/>
          <w:color w:val="auto"/>
          <w:kern w:val="0"/>
          <w:sz w:val="24"/>
          <w:szCs w:val="24"/>
          <w:lang w:val="en-US" w:eastAsia="zh-CN"/>
        </w:rPr>
        <w:t>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14</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14</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项目限价：本次采购设定限高价为880元/吨（含税），报价高于此价格则视为无效报价</w:t>
      </w:r>
      <w:r>
        <w:rPr>
          <w:rFonts w:hint="eastAsia" w:ascii="宋体" w:hAnsi="宋体" w:eastAsia="宋体" w:cs="宋体"/>
          <w:kern w:val="0"/>
          <w:sz w:val="24"/>
          <w:szCs w:val="24"/>
          <w:lang w:val="en-US" w:eastAsia="zh-CN"/>
        </w:rPr>
        <w:t>。</w:t>
      </w:r>
    </w:p>
    <w:p>
      <w:pPr>
        <w:widowControl/>
        <w:spacing w:line="480" w:lineRule="auto"/>
        <w:jc w:val="left"/>
        <w:rPr>
          <w:rFonts w:hint="eastAsia" w:ascii="宋体" w:hAnsi="宋体" w:cs="宋体"/>
          <w:color w:val="auto"/>
          <w:sz w:val="24"/>
          <w:highlight w:val="none"/>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成交</w:t>
      </w:r>
      <w:r>
        <w:rPr>
          <w:rFonts w:ascii="宋体" w:hAnsi="宋体" w:eastAsia="宋体" w:cs="宋体"/>
          <w:kern w:val="0"/>
          <w:sz w:val="24"/>
          <w:szCs w:val="24"/>
        </w:rPr>
        <w:t>原则</w:t>
      </w:r>
      <w:r>
        <w:rPr>
          <w:rFonts w:hint="eastAsia" w:ascii="宋体" w:hAnsi="宋体" w:eastAsia="宋体" w:cs="宋体"/>
          <w:kern w:val="0"/>
          <w:sz w:val="24"/>
          <w:szCs w:val="24"/>
        </w:rPr>
        <w:t>：</w:t>
      </w: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采用经综合评审合格且最低价成交法</w:t>
      </w:r>
      <w:r>
        <w:rPr>
          <w:rFonts w:hint="eastAsia" w:ascii="宋体" w:hAnsi="宋体" w:cs="宋体"/>
          <w:color w:val="auto"/>
          <w:sz w:val="24"/>
          <w:highlight w:val="none"/>
          <w:lang w:eastAsia="zh-CN"/>
        </w:rPr>
        <w:t>。</w:t>
      </w:r>
      <w:r>
        <w:rPr>
          <w:rFonts w:hint="eastAsia" w:ascii="宋体" w:hAnsi="宋体" w:cs="宋体"/>
          <w:color w:val="auto"/>
          <w:sz w:val="24"/>
          <w:highlight w:val="none"/>
        </w:rPr>
        <w:t>询价小组从质量和服务均能满足采购文件实质性响应要求的供应商中，根据有效报价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由低到高推荐成交候选供应商；有效报价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相同的，</w:t>
      </w:r>
      <w:r>
        <w:rPr>
          <w:rFonts w:hint="eastAsia" w:ascii="宋体" w:hAnsi="宋体"/>
          <w:color w:val="auto"/>
          <w:sz w:val="24"/>
          <w:highlight w:val="none"/>
          <w:lang w:eastAsia="zh-CN"/>
        </w:rPr>
        <w:t>询价</w:t>
      </w:r>
      <w:r>
        <w:rPr>
          <w:rFonts w:hint="eastAsia" w:ascii="宋体" w:hAnsi="宋体"/>
          <w:color w:val="auto"/>
          <w:sz w:val="24"/>
          <w:highlight w:val="none"/>
        </w:rPr>
        <w:t>小组根据随机原则确定排名</w:t>
      </w:r>
      <w:r>
        <w:rPr>
          <w:rFonts w:hint="eastAsia" w:ascii="宋体" w:hAnsi="宋体" w:cs="宋体"/>
          <w:color w:val="auto"/>
          <w:sz w:val="24"/>
          <w:highlight w:val="none"/>
        </w:rPr>
        <w:t>。询价小组根据以上排列顺序推荐成交候选供应商的成交候选顺序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eastAsia="宋体"/>
          <w:kern w:val="0"/>
          <w:sz w:val="24"/>
          <w:szCs w:val="24"/>
          <w:lang w:val="en-US" w:eastAsia="zh-CN"/>
        </w:rPr>
        <w:t xml:space="preserve"> </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276"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03</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06</w:t>
      </w:r>
      <w:bookmarkStart w:id="72" w:name="_GoBack"/>
      <w:bookmarkEnd w:id="72"/>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val="en-US"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新阳事业部氨水</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4083811"/>
      <w:bookmarkStart w:id="2" w:name="_Toc260230610"/>
      <w:bookmarkStart w:id="3" w:name="_Toc32305_WPSOffice_Level2"/>
      <w:bookmarkStart w:id="4" w:name="_Toc293413478"/>
      <w:bookmarkStart w:id="5" w:name="_Toc32472_WPSOffice_Level2"/>
      <w:bookmarkStart w:id="6" w:name="_Toc33340836"/>
      <w:bookmarkStart w:id="7" w:name="_Toc23613348"/>
      <w:bookmarkStart w:id="8" w:name="_Toc514_WPSOffice_Level2"/>
      <w:bookmarkStart w:id="9" w:name="_Toc260238414"/>
      <w:bookmarkStart w:id="10" w:name="_Toc24455231"/>
      <w:bookmarkStart w:id="11" w:name="_Toc229281569"/>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293413479"/>
      <w:bookmarkStart w:id="14" w:name="_Toc32292_WPSOffice_Level2"/>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响应函；</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并加盖报价单位公章；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企业能有效识别二维码的营业执照复印件且加盖报价单位公章；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12004_WPSOffice_Level2"/>
      <w:bookmarkStart w:id="17" w:name="_Toc24083813"/>
      <w:bookmarkStart w:id="18" w:name="_Toc1802_WPSOffice_Level2"/>
      <w:bookmarkStart w:id="19" w:name="_Toc229281571"/>
      <w:bookmarkStart w:id="20" w:name="_Toc33340838"/>
      <w:bookmarkStart w:id="21" w:name="_Toc293413480"/>
      <w:bookmarkStart w:id="22" w:name="_Toc24455233"/>
      <w:bookmarkStart w:id="23" w:name="_Toc260230612"/>
      <w:bookmarkStart w:id="24" w:name="_Toc17624_WPSOffice_Level2"/>
      <w:bookmarkStart w:id="25" w:name="_Toc260238416"/>
      <w:r>
        <w:rPr>
          <w:rFonts w:hint="eastAsia" w:ascii="宋体" w:hAnsi="宋体"/>
          <w:b/>
          <w:bCs/>
          <w:sz w:val="24"/>
          <w:szCs w:val="24"/>
          <w:lang w:val="en-US" w:eastAsia="zh-CN"/>
        </w:rPr>
        <w:t xml:space="preserve"> </w:t>
      </w:r>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w:t>
      </w:r>
      <w:r>
        <w:rPr>
          <w:rFonts w:hint="eastAsia" w:ascii="宋体" w:hAnsi="宋体"/>
          <w:sz w:val="24"/>
          <w:szCs w:val="24"/>
          <w:lang w:eastAsia="zh-CN"/>
        </w:rPr>
        <w:t>询价</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bookmarkStart w:id="27" w:name="_Toc421773672"/>
      <w:bookmarkStart w:id="28" w:name="_Toc420577581"/>
      <w:bookmarkStart w:id="29" w:name="_Toc422416153"/>
      <w:bookmarkStart w:id="30" w:name="_Toc445748261"/>
      <w:bookmarkStart w:id="31" w:name="_Toc462647056"/>
      <w:bookmarkStart w:id="32" w:name="_Toc440899515"/>
      <w:bookmarkStart w:id="33" w:name="_Toc445991603"/>
      <w:bookmarkStart w:id="34" w:name="_Toc457383223"/>
      <w:bookmarkStart w:id="35" w:name="_Toc425266324"/>
      <w:bookmarkStart w:id="36" w:name="_Toc449635679"/>
      <w:bookmarkStart w:id="37" w:name="_Toc422906617"/>
      <w:bookmarkStart w:id="38" w:name="_Toc444614425"/>
      <w:bookmarkStart w:id="39" w:name="_Toc439661731"/>
      <w:bookmarkStart w:id="40" w:name="_Toc418522815"/>
      <w:bookmarkStart w:id="41" w:name="_Toc441500070"/>
      <w:bookmarkStart w:id="42" w:name="_Toc441224335"/>
      <w:bookmarkStart w:id="43" w:name="_Toc449373772"/>
      <w:bookmarkStart w:id="44" w:name="_Toc445901129"/>
      <w:r>
        <w:rPr>
          <w:rFonts w:hint="eastAsia" w:ascii="宋体" w:hAnsi="宋体" w:cs="宋体"/>
          <w:color w:val="auto"/>
          <w:sz w:val="24"/>
          <w:highlight w:val="none"/>
          <w:lang w:val="en-US" w:eastAsia="zh-CN"/>
        </w:rPr>
        <w:t>5.1.4.4</w:t>
      </w:r>
      <w:r>
        <w:rPr>
          <w:rFonts w:hint="eastAsia" w:ascii="宋体" w:hAnsi="宋体" w:cs="宋体"/>
          <w:color w:val="auto"/>
          <w:sz w:val="24"/>
          <w:highlight w:val="none"/>
        </w:rPr>
        <w:t>本项目若属于首次进行询价采购的，在采购过程中出现下列情况的，本次询价失败：</w:t>
      </w:r>
    </w:p>
    <w:p>
      <w:pPr>
        <w:pStyle w:val="10"/>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5.1.4.4.1</w:t>
      </w:r>
      <w:r>
        <w:rPr>
          <w:rFonts w:hint="eastAsia" w:ascii="宋体" w:hAnsi="宋体" w:cs="宋体"/>
          <w:color w:val="auto"/>
          <w:sz w:val="24"/>
          <w:highlight w:val="none"/>
        </w:rPr>
        <w:t>在规定的时间前提交响应文件的供应商不足三家的；</w:t>
      </w:r>
    </w:p>
    <w:p>
      <w:pPr>
        <w:pStyle w:val="10"/>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5.1.4.4.2</w:t>
      </w:r>
      <w:r>
        <w:rPr>
          <w:rFonts w:hint="eastAsia" w:ascii="宋体" w:hAnsi="宋体" w:cs="宋体"/>
          <w:color w:val="auto"/>
          <w:sz w:val="24"/>
          <w:highlight w:val="none"/>
        </w:rPr>
        <w:t>质量和服务均能满足采购文件实质性要求的有效供应商不足三家的；</w:t>
      </w:r>
    </w:p>
    <w:p>
      <w:pPr>
        <w:pStyle w:val="10"/>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5.1.4.4.3</w:t>
      </w:r>
      <w:r>
        <w:rPr>
          <w:rFonts w:hint="eastAsia" w:ascii="宋体" w:hAnsi="宋体" w:cs="宋体"/>
          <w:color w:val="auto"/>
          <w:sz w:val="24"/>
          <w:highlight w:val="none"/>
        </w:rPr>
        <w:t>报价未超过采购最高限价的有效供应商不足三家的。</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5.1.4.5</w:t>
      </w:r>
      <w:r>
        <w:rPr>
          <w:rFonts w:hint="eastAsia" w:ascii="宋体" w:hAnsi="宋体" w:cs="宋体"/>
          <w:color w:val="auto"/>
          <w:sz w:val="24"/>
          <w:highlight w:val="none"/>
        </w:rPr>
        <w:t>本项目若属于首次询价采购失败后进行的第二次采购活动的，在采购过程中出现下列情况的，本次询价失败：</w:t>
      </w:r>
    </w:p>
    <w:p>
      <w:pPr>
        <w:pStyle w:val="10"/>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5.1.4.5.1</w:t>
      </w:r>
      <w:r>
        <w:rPr>
          <w:rFonts w:hint="eastAsia" w:ascii="宋体" w:hAnsi="宋体" w:cs="宋体"/>
          <w:color w:val="auto"/>
          <w:sz w:val="24"/>
          <w:highlight w:val="none"/>
        </w:rPr>
        <w:t>在规定的时间前提交响应文件的供应商不足两家的；</w:t>
      </w:r>
    </w:p>
    <w:p>
      <w:pPr>
        <w:pStyle w:val="10"/>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5.1.4.5.2</w:t>
      </w:r>
      <w:r>
        <w:rPr>
          <w:rFonts w:hint="eastAsia" w:ascii="宋体" w:hAnsi="宋体" w:cs="宋体"/>
          <w:color w:val="auto"/>
          <w:sz w:val="24"/>
          <w:highlight w:val="none"/>
        </w:rPr>
        <w:t>质量和服务均能满足采购文件实质性要求的有效供应商不足两家的；</w:t>
      </w:r>
    </w:p>
    <w:p>
      <w:pPr>
        <w:numPr>
          <w:ilvl w:val="0"/>
          <w:numId w:val="0"/>
        </w:numPr>
        <w:tabs>
          <w:tab w:val="left" w:pos="0"/>
        </w:tabs>
        <w:kinsoku w:val="0"/>
        <w:overflowPunct w:val="0"/>
        <w:adjustRightInd/>
        <w:spacing w:line="400" w:lineRule="atLeas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5.1.4.5.3</w:t>
      </w:r>
      <w:r>
        <w:rPr>
          <w:rFonts w:hint="eastAsia" w:ascii="宋体" w:hAnsi="宋体" w:cs="宋体"/>
          <w:color w:val="auto"/>
          <w:sz w:val="24"/>
          <w:highlight w:val="none"/>
        </w:rPr>
        <w:t>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0"/>
        </w:numPr>
        <w:tabs>
          <w:tab w:val="left" w:pos="0"/>
        </w:tabs>
        <w:kinsoku w:val="0"/>
        <w:overflowPunct w:val="0"/>
        <w:autoSpaceDE w:val="0"/>
        <w:autoSpaceDN w:val="0"/>
        <w:spacing w:line="480" w:lineRule="auto"/>
        <w:ind w:leftChars="0"/>
        <w:jc w:val="left"/>
        <w:rPr>
          <w:rFonts w:ascii="宋体" w:hAnsi="宋体"/>
          <w:sz w:val="24"/>
          <w:szCs w:val="24"/>
        </w:rPr>
      </w:pPr>
      <w:r>
        <w:rPr>
          <w:rFonts w:hint="eastAsia" w:ascii="宋体" w:hAnsi="宋体"/>
          <w:sz w:val="24"/>
          <w:szCs w:val="24"/>
          <w:lang w:val="en-US" w:eastAsia="zh-CN"/>
        </w:rPr>
        <w:t>5.2</w:t>
      </w: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r>
        <w:rPr>
          <w:rFonts w:hint="eastAsia" w:ascii="宋体" w:hAnsi="宋体"/>
          <w:sz w:val="24"/>
          <w:szCs w:val="24"/>
          <w:lang w:eastAsia="zh-CN"/>
        </w:rPr>
        <w:t>询价</w:t>
      </w:r>
      <w:r>
        <w:rPr>
          <w:rFonts w:hint="eastAsia" w:ascii="宋体" w:hAnsi="宋体"/>
          <w:sz w:val="24"/>
          <w:szCs w:val="24"/>
        </w:rPr>
        <w:t>小组对具备实质性的报价文件进行评估和比较。评审</w:t>
      </w:r>
      <w:r>
        <w:rPr>
          <w:rFonts w:hint="eastAsia" w:ascii="宋体" w:hAnsi="宋体"/>
          <w:sz w:val="24"/>
          <w:szCs w:val="24"/>
          <w:lang w:eastAsia="zh-CN"/>
        </w:rPr>
        <w:t>询价</w:t>
      </w:r>
      <w:r>
        <w:rPr>
          <w:rFonts w:hint="eastAsia" w:ascii="宋体" w:hAnsi="宋体"/>
          <w:sz w:val="24"/>
          <w:szCs w:val="24"/>
        </w:rPr>
        <w:t>小组成员由采购方相关人员组成，评审</w:t>
      </w:r>
      <w:r>
        <w:rPr>
          <w:rFonts w:hint="eastAsia" w:ascii="宋体" w:hAnsi="宋体"/>
          <w:sz w:val="24"/>
          <w:szCs w:val="24"/>
          <w:lang w:eastAsia="zh-CN"/>
        </w:rPr>
        <w:t>询价</w:t>
      </w:r>
      <w:r>
        <w:rPr>
          <w:rFonts w:hint="eastAsia" w:ascii="宋体" w:hAnsi="宋体"/>
          <w:sz w:val="24"/>
          <w:szCs w:val="24"/>
        </w:rPr>
        <w:t>小组将严格按照</w:t>
      </w:r>
      <w:r>
        <w:rPr>
          <w:rFonts w:hint="eastAsia" w:ascii="宋体" w:hAnsi="宋体"/>
          <w:sz w:val="24"/>
          <w:szCs w:val="24"/>
          <w:lang w:eastAsia="zh-CN"/>
        </w:rPr>
        <w:t>询价</w:t>
      </w:r>
      <w:r>
        <w:rPr>
          <w:rFonts w:hint="eastAsia" w:ascii="宋体" w:hAnsi="宋体"/>
          <w:sz w:val="24"/>
          <w:szCs w:val="24"/>
        </w:rPr>
        <w:t>文件的要求和条件对所有报价文件进行评审。</w:t>
      </w:r>
    </w:p>
    <w:p>
      <w:pPr>
        <w:tabs>
          <w:tab w:val="left" w:pos="1019"/>
        </w:tabs>
        <w:adjustRightInd w:val="0"/>
        <w:snapToGrid w:val="0"/>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5.2.1.1</w:t>
      </w:r>
      <w:r>
        <w:rPr>
          <w:rFonts w:hint="eastAsia" w:ascii="宋体" w:hAnsi="宋体" w:cs="宋体"/>
          <w:color w:val="auto"/>
          <w:sz w:val="24"/>
          <w:highlight w:val="none"/>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w:t>
      </w:r>
      <w:r>
        <w:rPr>
          <w:rFonts w:hint="eastAsia" w:ascii="宋体" w:hAnsi="宋体"/>
          <w:sz w:val="24"/>
          <w:szCs w:val="24"/>
          <w:lang w:eastAsia="zh-CN"/>
        </w:rPr>
        <w:t>询价</w:t>
      </w:r>
      <w:r>
        <w:rPr>
          <w:rFonts w:hint="eastAsia" w:ascii="宋体" w:hAnsi="宋体"/>
          <w:sz w:val="24"/>
          <w:szCs w:val="24"/>
        </w:rPr>
        <w:t>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ascii="宋体" w:hAnsi="宋体"/>
          <w:sz w:val="24"/>
          <w:szCs w:val="24"/>
        </w:rPr>
      </w:pPr>
      <w:r>
        <w:rPr>
          <w:rFonts w:hint="eastAsia" w:ascii="宋体" w:hAnsi="宋体" w:cs="宋体"/>
          <w:color w:val="auto"/>
          <w:kern w:val="0"/>
          <w:sz w:val="24"/>
          <w:highlight w:val="none"/>
          <w:lang w:val="en-US" w:eastAsia="zh-CN"/>
        </w:rPr>
        <w:t>5.2.3询价规则及成交原则</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5.2.3.1</w:t>
      </w:r>
      <w:r>
        <w:rPr>
          <w:rFonts w:hint="eastAsia" w:ascii="宋体" w:hAnsi="宋体" w:cs="宋体"/>
          <w:color w:val="auto"/>
          <w:kern w:val="0"/>
          <w:sz w:val="24"/>
          <w:highlight w:val="none"/>
        </w:rPr>
        <w:t>询价小组对提交</w:t>
      </w:r>
      <w:r>
        <w:rPr>
          <w:rFonts w:hint="eastAsia" w:ascii="宋体" w:hAnsi="宋体" w:cs="宋体"/>
          <w:color w:val="auto"/>
          <w:sz w:val="24"/>
          <w:highlight w:val="none"/>
        </w:rPr>
        <w:t>响应文件</w:t>
      </w:r>
      <w:r>
        <w:rPr>
          <w:rFonts w:hint="eastAsia" w:ascii="宋体" w:hAnsi="宋体" w:cs="宋体"/>
          <w:color w:val="auto"/>
          <w:kern w:val="0"/>
          <w:sz w:val="24"/>
          <w:highlight w:val="none"/>
        </w:rPr>
        <w:t>的供应商进行初步审查（即资格及符合性审查），以确定其是否具备参与</w:t>
      </w:r>
      <w:r>
        <w:rPr>
          <w:rFonts w:hint="eastAsia" w:ascii="宋体" w:hAnsi="宋体" w:cs="宋体"/>
          <w:color w:val="auto"/>
          <w:sz w:val="24"/>
          <w:highlight w:val="none"/>
        </w:rPr>
        <w:t>报价</w:t>
      </w:r>
      <w:r>
        <w:rPr>
          <w:rFonts w:hint="eastAsia" w:ascii="宋体" w:hAnsi="宋体" w:cs="宋体"/>
          <w:color w:val="auto"/>
          <w:kern w:val="0"/>
          <w:sz w:val="24"/>
          <w:highlight w:val="none"/>
        </w:rPr>
        <w:t>的资格。</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5.2.3.2 </w:t>
      </w:r>
      <w:r>
        <w:rPr>
          <w:rFonts w:hint="eastAsia" w:ascii="宋体" w:hAnsi="宋体" w:cs="宋体"/>
          <w:color w:val="auto"/>
          <w:kern w:val="0"/>
          <w:sz w:val="24"/>
          <w:highlight w:val="none"/>
        </w:rPr>
        <w:t>询价小组在对具备资格供应商的</w:t>
      </w:r>
      <w:r>
        <w:rPr>
          <w:rFonts w:hint="eastAsia" w:ascii="宋体" w:hAnsi="宋体" w:cs="宋体"/>
          <w:color w:val="auto"/>
          <w:sz w:val="24"/>
          <w:highlight w:val="none"/>
        </w:rPr>
        <w:t>响应文件</w:t>
      </w:r>
      <w:r>
        <w:rPr>
          <w:rFonts w:hint="eastAsia" w:ascii="宋体" w:hAnsi="宋体" w:cs="宋体"/>
          <w:color w:val="auto"/>
          <w:kern w:val="0"/>
          <w:sz w:val="24"/>
          <w:highlight w:val="none"/>
        </w:rPr>
        <w:t>的有效性、完整性和响应程度进行审查时，可以要求供应商对</w:t>
      </w:r>
      <w:r>
        <w:rPr>
          <w:rFonts w:hint="eastAsia" w:ascii="宋体" w:hAnsi="宋体" w:cs="宋体"/>
          <w:color w:val="auto"/>
          <w:sz w:val="24"/>
          <w:highlight w:val="none"/>
        </w:rPr>
        <w:t>响应文件</w:t>
      </w:r>
      <w:r>
        <w:rPr>
          <w:rFonts w:hint="eastAsia" w:ascii="宋体" w:hAnsi="宋体" w:cs="宋体"/>
          <w:color w:val="auto"/>
          <w:kern w:val="0"/>
          <w:sz w:val="24"/>
          <w:highlight w:val="none"/>
        </w:rPr>
        <w:t>中含义不明确、同类问题表述不一致或者有明显文字和计算错误的内容等作出必要的澄清、说明或者更正。供应商的澄清、说明或者更正不得超出</w:t>
      </w:r>
      <w:r>
        <w:rPr>
          <w:rFonts w:hint="eastAsia" w:ascii="宋体" w:hAnsi="宋体" w:cs="宋体"/>
          <w:color w:val="auto"/>
          <w:sz w:val="24"/>
          <w:highlight w:val="none"/>
        </w:rPr>
        <w:t>响应文件</w:t>
      </w:r>
      <w:r>
        <w:rPr>
          <w:rFonts w:hint="eastAsia" w:ascii="宋体" w:hAnsi="宋体" w:cs="宋体"/>
          <w:color w:val="auto"/>
          <w:kern w:val="0"/>
          <w:sz w:val="24"/>
          <w:highlight w:val="none"/>
        </w:rPr>
        <w:t>的范围或者改变</w:t>
      </w:r>
      <w:r>
        <w:rPr>
          <w:rFonts w:hint="eastAsia" w:ascii="宋体" w:hAnsi="宋体" w:cs="宋体"/>
          <w:color w:val="auto"/>
          <w:sz w:val="24"/>
          <w:highlight w:val="none"/>
        </w:rPr>
        <w:t>响应文件</w:t>
      </w:r>
      <w:r>
        <w:rPr>
          <w:rFonts w:hint="eastAsia" w:ascii="宋体" w:hAnsi="宋体" w:cs="宋体"/>
          <w:color w:val="auto"/>
          <w:kern w:val="0"/>
          <w:sz w:val="24"/>
          <w:highlight w:val="none"/>
        </w:rPr>
        <w:t>的实质性内容。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5.2.3.3 </w:t>
      </w:r>
      <w:r>
        <w:rPr>
          <w:rFonts w:hint="eastAsia" w:ascii="宋体" w:hAnsi="宋体" w:cs="宋体"/>
          <w:color w:val="auto"/>
          <w:sz w:val="24"/>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5.2.3.4 </w:t>
      </w:r>
      <w:r>
        <w:rPr>
          <w:rFonts w:hint="eastAsia" w:ascii="宋体" w:hAnsi="宋体" w:cs="宋体"/>
          <w:color w:val="auto"/>
          <w:kern w:val="0"/>
          <w:sz w:val="24"/>
          <w:highlight w:val="none"/>
        </w:rPr>
        <w:t>询价小组在询价过程中，不得改变询价通知书所确定的技术和服务等要求、评审程序、评定成交的标准和合同文本等事项。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5.2.3.5 </w:t>
      </w:r>
      <w:r>
        <w:rPr>
          <w:rFonts w:hint="eastAsia" w:ascii="宋体" w:hAnsi="宋体" w:cs="宋体"/>
          <w:color w:val="auto"/>
          <w:kern w:val="0"/>
          <w:sz w:val="24"/>
          <w:highlight w:val="none"/>
        </w:rPr>
        <w:t>参加询价采购活动的供应商，应当按照询价通知书的规定一次报出不得更改的报价。</w:t>
      </w:r>
    </w:p>
    <w:p>
      <w:pPr>
        <w:pStyle w:val="6"/>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5.2.3.</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采用经综合评审合格且最低价成交法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询价小组从质量和服务均能满足采购文件实质性响应要求的供应商中，根据有效报价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由低到高推荐成交候选供应商；有效报价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相同的，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小组根据随机原则确定排名。询价小组根据以上排列顺序推荐成交候选供应商的成交候选顺序</w:t>
      </w:r>
      <w:r>
        <w:rPr>
          <w:rFonts w:hint="eastAsia" w:ascii="宋体" w:hAnsi="宋体" w:eastAsia="宋体" w:cs="宋体"/>
          <w:color w:val="auto"/>
          <w:sz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响应文件报价出现前后不一致的，除</w:t>
      </w:r>
      <w:r>
        <w:rPr>
          <w:rFonts w:hint="eastAsia" w:ascii="宋体" w:hAnsi="宋体"/>
          <w:bCs/>
          <w:color w:val="auto"/>
          <w:sz w:val="24"/>
          <w:szCs w:val="24"/>
          <w:highlight w:val="none"/>
          <w:lang w:val="en-US" w:eastAsia="zh-CN"/>
        </w:rPr>
        <w:t>询价</w:t>
      </w:r>
      <w:r>
        <w:rPr>
          <w:rFonts w:hint="eastAsia" w:ascii="宋体" w:hAnsi="宋体"/>
          <w:bCs/>
          <w:color w:val="auto"/>
          <w:sz w:val="24"/>
          <w:szCs w:val="24"/>
          <w:highlight w:val="none"/>
        </w:rPr>
        <w:t>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.4 总价金额与按单价汇总金额不一致的，以单价金额计算结果为准。</w:t>
      </w:r>
    </w:p>
    <w:p>
      <w:pPr>
        <w:tabs>
          <w:tab w:val="left" w:pos="0"/>
        </w:tabs>
        <w:autoSpaceDE/>
        <w:autoSpaceDN/>
        <w:adjustRightInd/>
        <w:snapToGrid w:val="0"/>
        <w:spacing w:line="360" w:lineRule="auto"/>
        <w:ind w:right="105" w:rightChars="50" w:firstLine="480" w:firstLineChars="200"/>
        <w:jc w:val="left"/>
        <w:textAlignment w:val="auto"/>
        <w:rPr>
          <w:rFonts w:hint="eastAsia" w:ascii="宋体" w:hAnsi="宋体" w:cs="宋体"/>
          <w:lang w:val="en-US" w:eastAsia="zh-CN"/>
        </w:rPr>
      </w:pPr>
      <w:r>
        <w:rPr>
          <w:rFonts w:hint="eastAsia" w:ascii="宋体" w:hAnsi="宋体"/>
          <w:bCs/>
          <w:color w:val="auto"/>
          <w:sz w:val="24"/>
          <w:szCs w:val="24"/>
          <w:highlight w:val="none"/>
        </w:rPr>
        <w:t>同时出现两种以上不一致的，按照前款规定的顺序修正。修正后的报价经供应商确认后产生约束力，供应商不确认的，其响应无效。</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五个工作日内</w:t>
      </w:r>
      <w:r>
        <w:rPr>
          <w:rFonts w:hint="eastAsia" w:ascii="宋体" w:hAnsi="宋体"/>
          <w:sz w:val="24"/>
          <w:szCs w:val="24"/>
        </w:rPr>
        <w:t>与采购方签订合同，采购方和成交供应商不得另行订立背离合同实质性内容的其它协议。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color w:val="3A3A3A"/>
          <w:kern w:val="0"/>
          <w:sz w:val="24"/>
          <w:szCs w:val="24"/>
        </w:rPr>
        <w:t>）环保需求，现进行</w:t>
      </w:r>
      <w:r>
        <w:rPr>
          <w:rFonts w:hint="eastAsia" w:ascii="宋体" w:hAnsi="宋体" w:eastAsia="宋体" w:cs="宋体"/>
          <w:b/>
          <w:kern w:val="0"/>
          <w:sz w:val="24"/>
          <w:szCs w:val="24"/>
        </w:rPr>
        <w:t>氨水</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项目名称：新阳</w:t>
      </w:r>
      <w:r>
        <w:rPr>
          <w:rFonts w:hint="eastAsia" w:ascii="宋体" w:hAnsi="宋体" w:eastAsia="宋体" w:cs="宋体"/>
          <w:color w:val="000000" w:themeColor="text1"/>
          <w:kern w:val="0"/>
          <w:sz w:val="24"/>
          <w:szCs w:val="24"/>
          <w:lang w:val="en-US" w:eastAsia="zh-CN"/>
          <w14:textFill>
            <w14:solidFill>
              <w14:schemeClr w14:val="tx1"/>
            </w14:solidFill>
          </w14:textFill>
        </w:rPr>
        <w:t>事业部</w:t>
      </w:r>
      <w:r>
        <w:rPr>
          <w:rFonts w:hint="eastAsia" w:ascii="宋体" w:hAnsi="宋体" w:eastAsia="宋体" w:cs="宋体"/>
          <w:color w:val="000000" w:themeColor="text1"/>
          <w:kern w:val="0"/>
          <w:sz w:val="24"/>
          <w:szCs w:val="24"/>
          <w14:textFill>
            <w14:solidFill>
              <w14:schemeClr w14:val="tx1"/>
            </w14:solidFill>
          </w14:textFill>
        </w:rPr>
        <w:t>氨水</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6"/>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142"/>
        <w:gridCol w:w="2693"/>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214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需求数量</w:t>
            </w:r>
          </w:p>
        </w:tc>
        <w:tc>
          <w:tcPr>
            <w:tcW w:w="288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2"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氨水</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lang w:val="en-US" w:eastAsia="zh-CN"/>
              </w:rPr>
              <w:t>120</w:t>
            </w:r>
            <w:r>
              <w:rPr>
                <w:rFonts w:hint="eastAsia" w:ascii="宋体" w:hAnsi="宋体" w:eastAsia="宋体" w:cs="Times New Roman"/>
                <w:color w:val="000000"/>
                <w:kern w:val="0"/>
                <w:sz w:val="24"/>
                <w:szCs w:val="24"/>
              </w:rPr>
              <w:t>吨</w:t>
            </w:r>
          </w:p>
        </w:tc>
        <w:tc>
          <w:tcPr>
            <w:tcW w:w="2882" w:type="dxa"/>
            <w:vAlign w:val="center"/>
          </w:tcPr>
          <w:p>
            <w:pPr>
              <w:widowControl/>
              <w:spacing w:line="276" w:lineRule="auto"/>
              <w:jc w:val="center"/>
              <w:rPr>
                <w:rFonts w:ascii="宋体" w:hAnsi="宋体" w:eastAsia="宋体" w:cs="Times New Roman"/>
                <w:color w:val="000000"/>
                <w:kern w:val="0"/>
                <w:sz w:val="24"/>
                <w:szCs w:val="24"/>
              </w:rPr>
            </w:pPr>
            <w:r>
              <w:rPr>
                <w:rFonts w:ascii="Arial" w:hAnsi="Arial" w:eastAsia="Arial" w:cs="Arial"/>
                <w:i w:val="0"/>
                <w:iCs w:val="0"/>
                <w:caps w:val="0"/>
                <w:color w:val="333333"/>
                <w:spacing w:val="0"/>
                <w:sz w:val="21"/>
                <w:szCs w:val="21"/>
                <w:shd w:val="clear" w:color="auto" w:fill="auto"/>
              </w:rPr>
              <w:t>氨（NH3）含量≥20％；外观无色透明或带微黄色液体；色度≤80号；残渣含量≤0.3g/L；硫化物≤2.0％；氯化物≤1.0％</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429"/>
        <w:gridCol w:w="46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68" w:type="dxa"/>
            <w:shd w:val="clear" w:color="auto" w:fill="auto"/>
            <w:vAlign w:val="center"/>
          </w:tcPr>
          <w:p>
            <w:pPr>
              <w:spacing w:line="520" w:lineRule="exact"/>
              <w:rPr>
                <w:rFonts w:ascii="宋体" w:hAnsi="宋体"/>
                <w:sz w:val="24"/>
              </w:rPr>
            </w:pPr>
            <w:r>
              <w:rPr>
                <w:rFonts w:hint="eastAsia" w:ascii="宋体" w:hAnsi="宋体"/>
                <w:sz w:val="24"/>
              </w:rPr>
              <w:t>序号</w:t>
            </w:r>
          </w:p>
        </w:tc>
        <w:tc>
          <w:tcPr>
            <w:tcW w:w="2429" w:type="dxa"/>
            <w:shd w:val="clear" w:color="auto" w:fill="auto"/>
            <w:vAlign w:val="center"/>
          </w:tcPr>
          <w:p>
            <w:pPr>
              <w:spacing w:line="520" w:lineRule="exact"/>
              <w:ind w:firstLine="360" w:firstLineChars="150"/>
              <w:rPr>
                <w:rFonts w:ascii="宋体" w:hAnsi="宋体"/>
                <w:sz w:val="24"/>
              </w:rPr>
            </w:pPr>
            <w:r>
              <w:rPr>
                <w:rFonts w:hint="eastAsia" w:ascii="宋体" w:hAnsi="宋体"/>
                <w:sz w:val="24"/>
              </w:rPr>
              <w:t>检验质量（</w:t>
            </w:r>
            <w:r>
              <w:rPr>
                <w:rFonts w:ascii="宋体" w:hAnsi="宋体"/>
                <w:sz w:val="24"/>
              </w:rPr>
              <w:t>浓度）</w:t>
            </w:r>
          </w:p>
        </w:tc>
        <w:tc>
          <w:tcPr>
            <w:tcW w:w="4667" w:type="dxa"/>
            <w:shd w:val="clear" w:color="auto" w:fill="auto"/>
            <w:vAlign w:val="center"/>
          </w:tcPr>
          <w:p>
            <w:pPr>
              <w:spacing w:line="520" w:lineRule="exact"/>
              <w:ind w:firstLine="720" w:firstLineChars="300"/>
              <w:rPr>
                <w:rFonts w:ascii="宋体" w:hAnsi="宋体"/>
                <w:sz w:val="24"/>
              </w:rPr>
            </w:pPr>
            <w:r>
              <w:rPr>
                <w:rFonts w:hint="eastAsia" w:ascii="宋体" w:hAnsi="宋体"/>
                <w:sz w:val="24"/>
              </w:rPr>
              <w:t>每批次结算</w:t>
            </w:r>
            <w:r>
              <w:rPr>
                <w:rFonts w:ascii="宋体" w:hAnsi="宋体"/>
                <w:sz w:val="24"/>
              </w:rPr>
              <w:t>价</w:t>
            </w:r>
            <w:r>
              <w:rPr>
                <w:rFonts w:hint="eastAsia" w:ascii="宋体" w:hAnsi="宋体"/>
                <w:sz w:val="24"/>
              </w:rPr>
              <w:t>（元/吨</w:t>
            </w:r>
            <w:r>
              <w:rPr>
                <w:rFonts w:ascii="宋体" w:hAnsi="宋体"/>
                <w:sz w:val="24"/>
              </w:rPr>
              <w:t>）</w:t>
            </w:r>
          </w:p>
        </w:tc>
        <w:tc>
          <w:tcPr>
            <w:tcW w:w="708" w:type="dxa"/>
            <w:shd w:val="clear" w:color="auto" w:fill="auto"/>
            <w:vAlign w:val="center"/>
          </w:tcPr>
          <w:p>
            <w:pPr>
              <w:spacing w:line="52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1</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浓度≥20</w:t>
            </w:r>
            <w:r>
              <w:rPr>
                <w:rFonts w:ascii="宋体" w:hAnsi="宋体"/>
                <w:szCs w:val="21"/>
              </w:rPr>
              <w:t>%</w:t>
            </w:r>
          </w:p>
        </w:tc>
        <w:tc>
          <w:tcPr>
            <w:tcW w:w="4667" w:type="dxa"/>
            <w:shd w:val="clear" w:color="auto" w:fill="auto"/>
            <w:vAlign w:val="center"/>
          </w:tcPr>
          <w:p>
            <w:pPr>
              <w:spacing w:line="520" w:lineRule="exact"/>
              <w:rPr>
                <w:rFonts w:ascii="宋体" w:hAnsi="宋体"/>
                <w:sz w:val="24"/>
              </w:rPr>
            </w:pPr>
            <w:r>
              <w:rPr>
                <w:rFonts w:hint="eastAsia" w:ascii="宋体" w:hAnsi="宋体"/>
                <w:szCs w:val="21"/>
              </w:rPr>
              <w:t>按成交</w:t>
            </w:r>
            <w:r>
              <w:rPr>
                <w:rFonts w:ascii="宋体" w:hAnsi="宋体"/>
                <w:szCs w:val="21"/>
              </w:rPr>
              <w:t>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2</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%-取样</w:t>
            </w:r>
            <w:r>
              <w:rPr>
                <w:rFonts w:hint="eastAsia" w:ascii="宋体" w:hAnsi="宋体"/>
                <w:color w:val="000000" w:themeColor="text1"/>
                <w:szCs w:val="21"/>
                <w14:textFill>
                  <w14:solidFill>
                    <w14:schemeClr w14:val="tx1"/>
                  </w14:solidFill>
                </w14:textFill>
              </w:rPr>
              <w:t>值)</w:t>
            </w:r>
            <w:r>
              <w:rPr>
                <w:rFonts w:ascii="宋体" w:hAnsi="宋体"/>
                <w:color w:val="000000" w:themeColor="text1"/>
                <w:szCs w:val="21"/>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成交价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3</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19%＞浓度≥18%</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color w:val="000000" w:themeColor="text1"/>
                <w14:textFill>
                  <w14:solidFill>
                    <w14:schemeClr w14:val="tx1"/>
                  </w14:solidFill>
                </w14:textFill>
              </w:rPr>
              <w:t xml:space="preserve"> </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4</w:t>
            </w:r>
          </w:p>
        </w:tc>
        <w:tc>
          <w:tcPr>
            <w:tcW w:w="2429" w:type="dxa"/>
            <w:shd w:val="clear" w:color="auto" w:fill="auto"/>
            <w:vAlign w:val="center"/>
          </w:tcPr>
          <w:p>
            <w:pPr>
              <w:spacing w:line="520" w:lineRule="exact"/>
              <w:ind w:firstLine="315" w:firstLineChars="150"/>
              <w:rPr>
                <w:rFonts w:ascii="宋体" w:hAnsi="宋体"/>
                <w:sz w:val="24"/>
              </w:rPr>
            </w:pPr>
            <w:r>
              <w:rPr>
                <w:rFonts w:ascii="宋体" w:hAnsi="宋体"/>
                <w:szCs w:val="21"/>
              </w:rPr>
              <w:t>18%</w:t>
            </w:r>
            <w:r>
              <w:rPr>
                <w:rFonts w:hint="eastAsia" w:ascii="宋体" w:hAnsi="宋体"/>
                <w:szCs w:val="21"/>
              </w:rPr>
              <w:t>＞</w:t>
            </w:r>
            <w:r>
              <w:rPr>
                <w:rFonts w:ascii="宋体" w:hAnsi="宋体"/>
                <w:szCs w:val="21"/>
              </w:rPr>
              <w:t>浓度</w:t>
            </w:r>
            <w:r>
              <w:rPr>
                <w:rFonts w:hint="eastAsia" w:ascii="宋体" w:hAnsi="宋体"/>
                <w:szCs w:val="21"/>
              </w:rPr>
              <w:t>≥</w:t>
            </w:r>
            <w:r>
              <w:rPr>
                <w:rFonts w:ascii="宋体" w:hAnsi="宋体"/>
                <w:szCs w:val="21"/>
              </w:rPr>
              <w:t>17%</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 w:val="24"/>
                <w14:textFill>
                  <w14:solidFill>
                    <w14:schemeClr w14:val="tx1"/>
                  </w14:solidFill>
                </w14:textFill>
              </w:rPr>
              <w:t>元/吨。</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5</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w:t>
            </w:r>
            <w:r>
              <w:rPr>
                <w:rFonts w:ascii="宋体" w:hAnsi="宋体"/>
                <w:szCs w:val="21"/>
              </w:rPr>
              <w:t>17%</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t>按</w:t>
            </w:r>
            <w:r>
              <w:rPr>
                <w:rFonts w:hint="eastAsia" w:ascii="宋体" w:hAnsi="宋体"/>
                <w:color w:val="000000" w:themeColor="text1"/>
                <w:szCs w:val="21"/>
                <w14:textFill>
                  <w14:solidFill>
                    <w14:schemeClr w14:val="tx1"/>
                  </w14:solidFill>
                </w14:textFill>
              </w:rPr>
              <w:t>成交价的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结算</w:t>
            </w:r>
            <w:r>
              <w:rPr>
                <w:rFonts w:ascii="宋体" w:hAnsi="宋体"/>
                <w:color w:val="000000" w:themeColor="text1"/>
                <w:szCs w:val="21"/>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6</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浓度≤1</w:t>
            </w:r>
            <w:r>
              <w:rPr>
                <w:rFonts w:ascii="宋体" w:hAnsi="宋体"/>
                <w:szCs w:val="21"/>
              </w:rPr>
              <w:t>5</w:t>
            </w:r>
            <w:r>
              <w:rPr>
                <w:rFonts w:hint="eastAsia" w:ascii="宋体" w:hAnsi="宋体"/>
                <w:szCs w:val="21"/>
              </w:rPr>
              <w:t>%</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需方将无偿使用该批次产品</w:t>
            </w:r>
          </w:p>
        </w:tc>
        <w:tc>
          <w:tcPr>
            <w:tcW w:w="708" w:type="dxa"/>
            <w:shd w:val="clear" w:color="auto" w:fill="auto"/>
            <w:vAlign w:val="center"/>
          </w:tcPr>
          <w:p>
            <w:pPr>
              <w:spacing w:line="520" w:lineRule="exact"/>
              <w:rPr>
                <w:rFonts w:ascii="宋体" w:hAnsi="宋体"/>
                <w:sz w:val="24"/>
              </w:rPr>
            </w:pPr>
          </w:p>
        </w:tc>
      </w:tr>
    </w:tbl>
    <w:p>
      <w:pPr>
        <w:widowControl/>
        <w:spacing w:line="360" w:lineRule="auto"/>
        <w:jc w:val="left"/>
        <w:rPr>
          <w:rFonts w:ascii="宋体" w:hAnsi="宋体" w:eastAsia="宋体" w:cs="宋体"/>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约15吨。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rPr>
        <w:t>需方</w:t>
      </w:r>
      <w:r>
        <w:rPr>
          <w:rFonts w:hint="eastAsia" w:ascii="宋体" w:hAnsi="宋体" w:cs="宋体"/>
          <w:color w:val="333333"/>
          <w:kern w:val="0"/>
          <w:sz w:val="24"/>
        </w:rPr>
        <w:t>环保脱硝使用，由</w:t>
      </w:r>
      <w:r>
        <w:rPr>
          <w:rFonts w:hint="eastAsia" w:ascii="宋体" w:hAnsi="宋体" w:eastAsia="宋体" w:cs="宋体"/>
          <w:color w:val="3A3A3A"/>
          <w:kern w:val="0"/>
          <w:sz w:val="24"/>
          <w:szCs w:val="24"/>
        </w:rPr>
        <w:t>需方</w:t>
      </w:r>
      <w:r>
        <w:rPr>
          <w:rFonts w:hint="eastAsia" w:ascii="宋体" w:hAnsi="宋体" w:cs="宋体"/>
          <w:color w:val="333333"/>
          <w:kern w:val="0"/>
          <w:sz w:val="24"/>
        </w:rPr>
        <w:t>按照现有的设备对所取样品进行化验，并以化验结果作为结算依据(四</w:t>
      </w:r>
      <w:r>
        <w:rPr>
          <w:rFonts w:ascii="宋体" w:hAnsi="宋体" w:cs="宋体"/>
          <w:color w:val="333333"/>
          <w:kern w:val="0"/>
          <w:sz w:val="24"/>
        </w:rPr>
        <w:t>小时内出化验报告</w:t>
      </w:r>
      <w:r>
        <w:rPr>
          <w:rFonts w:hint="eastAsia" w:ascii="宋体" w:hAnsi="宋体" w:cs="宋体"/>
          <w:color w:val="333333"/>
          <w:kern w:val="0"/>
          <w:sz w:val="24"/>
        </w:rPr>
        <w:t>)</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8176"/>
      <w:bookmarkStart w:id="47" w:name="_Toc15618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spacing w:line="500" w:lineRule="exact"/>
        <w:ind w:firstLine="480" w:firstLineChars="200"/>
        <w:rPr>
          <w:rFonts w:ascii="宋体" w:hAnsi="宋体"/>
          <w:sz w:val="24"/>
        </w:rPr>
      </w:pPr>
      <w:r>
        <w:rPr>
          <w:rFonts w:hint="eastAsia" w:ascii="宋体" w:hAnsi="宋体"/>
          <w:sz w:val="24"/>
        </w:rPr>
        <w:t>根据《中华人民共和国民法典》及有关法律、法规，需方、供方本着精诚合作、互惠互利的原则，就需方环保生产用</w:t>
      </w:r>
      <w:r>
        <w:rPr>
          <w:rFonts w:ascii="宋体" w:hAnsi="宋体"/>
          <w:sz w:val="24"/>
        </w:rPr>
        <w:t>氨水</w:t>
      </w:r>
      <w:r>
        <w:rPr>
          <w:rFonts w:hint="eastAsia" w:ascii="宋体" w:hAnsi="宋体"/>
          <w:sz w:val="24"/>
        </w:rPr>
        <w:t>采购项目，经双方协商，达成如下协议，供双方共同遵守。</w:t>
      </w:r>
    </w:p>
    <w:p/>
    <w:p>
      <w:pPr>
        <w:spacing w:line="360" w:lineRule="auto"/>
        <w:ind w:firstLine="480" w:firstLineChars="200"/>
        <w:rPr>
          <w:rFonts w:ascii="宋体" w:hAnsi="宋体"/>
          <w:sz w:val="24"/>
        </w:rPr>
      </w:pPr>
      <w:r>
        <w:rPr>
          <w:rFonts w:hint="eastAsia" w:ascii="宋体" w:hAnsi="宋体"/>
          <w:sz w:val="24"/>
        </w:rPr>
        <w:t>一、产品名称、规格、数量、单价（</w:t>
      </w:r>
      <w:r>
        <w:rPr>
          <w:rFonts w:ascii="宋体" w:hAnsi="宋体"/>
          <w:sz w:val="24"/>
        </w:rPr>
        <w:t>含</w:t>
      </w:r>
      <w:r>
        <w:rPr>
          <w:rFonts w:hint="eastAsia" w:ascii="宋体" w:hAnsi="宋体"/>
          <w:sz w:val="24"/>
        </w:rPr>
        <w:t>13</w:t>
      </w:r>
      <w:r>
        <w:rPr>
          <w:rFonts w:ascii="宋体" w:hAnsi="宋体"/>
          <w:sz w:val="24"/>
        </w:rPr>
        <w:t>%税</w:t>
      </w:r>
      <w:r>
        <w:rPr>
          <w:rFonts w:hint="eastAsia" w:ascii="宋体" w:hAnsi="宋体"/>
          <w:sz w:val="24"/>
        </w:rPr>
        <w:t>）表</w:t>
      </w:r>
      <w:r>
        <w:rPr>
          <w:rFonts w:ascii="宋体" w:hAnsi="宋体"/>
          <w:sz w:val="24"/>
        </w:rPr>
        <w:t>一</w:t>
      </w:r>
      <w:r>
        <w:rPr>
          <w:rFonts w:hint="eastAsia" w:ascii="宋体" w:hAnsi="宋体"/>
          <w:sz w:val="24"/>
        </w:rPr>
        <w:t xml:space="preserve">。       </w:t>
      </w:r>
    </w:p>
    <w:tbl>
      <w:tblPr>
        <w:tblStyle w:val="16"/>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892"/>
        <w:gridCol w:w="1276"/>
        <w:gridCol w:w="1565"/>
        <w:gridCol w:w="197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产品名称</w:t>
            </w:r>
          </w:p>
        </w:tc>
        <w:tc>
          <w:tcPr>
            <w:tcW w:w="2892" w:type="dxa"/>
            <w:vAlign w:val="center"/>
          </w:tcPr>
          <w:p>
            <w:pPr>
              <w:spacing w:line="360" w:lineRule="auto"/>
              <w:jc w:val="center"/>
              <w:rPr>
                <w:rFonts w:ascii="宋体" w:hAnsi="宋体"/>
                <w:sz w:val="24"/>
              </w:rPr>
            </w:pPr>
            <w:r>
              <w:rPr>
                <w:rFonts w:hint="eastAsia" w:ascii="宋体" w:hAnsi="宋体"/>
                <w:sz w:val="24"/>
              </w:rPr>
              <w:t xml:space="preserve">规 </w:t>
            </w:r>
            <w:r>
              <w:rPr>
                <w:rFonts w:ascii="宋体" w:hAnsi="宋体"/>
                <w:sz w:val="24"/>
              </w:rPr>
              <w:t xml:space="preserve"> </w:t>
            </w:r>
            <w:r>
              <w:rPr>
                <w:rFonts w:hint="eastAsia" w:ascii="宋体" w:hAnsi="宋体"/>
                <w:sz w:val="24"/>
              </w:rPr>
              <w:t>格</w:t>
            </w:r>
          </w:p>
        </w:tc>
        <w:tc>
          <w:tcPr>
            <w:tcW w:w="1276" w:type="dxa"/>
            <w:vAlign w:val="center"/>
          </w:tcPr>
          <w:p>
            <w:pPr>
              <w:spacing w:line="360" w:lineRule="auto"/>
              <w:jc w:val="center"/>
              <w:rPr>
                <w:rFonts w:ascii="宋体" w:hAnsi="宋体"/>
                <w:sz w:val="24"/>
              </w:rPr>
            </w:pPr>
            <w:r>
              <w:rPr>
                <w:rFonts w:hint="eastAsia" w:ascii="宋体" w:hAnsi="宋体"/>
                <w:sz w:val="24"/>
              </w:rPr>
              <w:t>数量(吨)</w:t>
            </w:r>
          </w:p>
        </w:tc>
        <w:tc>
          <w:tcPr>
            <w:tcW w:w="1565" w:type="dxa"/>
            <w:vAlign w:val="center"/>
          </w:tcPr>
          <w:p>
            <w:pPr>
              <w:spacing w:line="360" w:lineRule="auto"/>
              <w:jc w:val="center"/>
              <w:rPr>
                <w:rFonts w:ascii="宋体" w:hAnsi="宋体"/>
                <w:sz w:val="24"/>
              </w:rPr>
            </w:pPr>
            <w:r>
              <w:rPr>
                <w:rFonts w:hint="eastAsia" w:ascii="宋体" w:hAnsi="宋体"/>
                <w:sz w:val="24"/>
              </w:rPr>
              <w:t>单价    （吨/元）</w:t>
            </w:r>
          </w:p>
        </w:tc>
        <w:tc>
          <w:tcPr>
            <w:tcW w:w="1974"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含税合计金额（元）</w:t>
            </w:r>
          </w:p>
        </w:tc>
        <w:tc>
          <w:tcPr>
            <w:tcW w:w="1974" w:type="dxa"/>
            <w:vAlign w:val="center"/>
          </w:tcPr>
          <w:p>
            <w:pPr>
              <w:spacing w:line="360" w:lineRule="auto"/>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氨水</w:t>
            </w:r>
          </w:p>
        </w:tc>
        <w:tc>
          <w:tcPr>
            <w:tcW w:w="2892" w:type="dxa"/>
            <w:vAlign w:val="center"/>
          </w:tcPr>
          <w:p>
            <w:pPr>
              <w:spacing w:line="360" w:lineRule="auto"/>
              <w:jc w:val="center"/>
              <w:rPr>
                <w:rFonts w:ascii="宋体" w:hAnsi="宋体"/>
                <w:sz w:val="24"/>
              </w:rPr>
            </w:pPr>
            <w:r>
              <w:rPr>
                <w:rFonts w:ascii="宋体" w:hAnsi="宋体"/>
                <w:sz w:val="22"/>
                <w:shd w:val="clear" w:color="auto" w:fill="auto"/>
              </w:rPr>
              <w:t></w:t>
            </w:r>
            <w:r>
              <w:rPr>
                <w:rFonts w:ascii="Arial" w:hAnsi="Arial" w:eastAsia="Arial" w:cs="Arial"/>
                <w:i w:val="0"/>
                <w:iCs w:val="0"/>
                <w:caps w:val="0"/>
                <w:color w:val="333333"/>
                <w:spacing w:val="0"/>
                <w:sz w:val="21"/>
                <w:szCs w:val="21"/>
                <w:shd w:val="clear" w:color="auto" w:fill="auto"/>
              </w:rPr>
              <w:t>氨（NH3）含量≥20％；外观无色透明或带微黄色液体；色度≤80号；残渣含量≤0.3g/L；硫化物≤2.0％；氯化物≤1.0％</w:t>
            </w:r>
          </w:p>
        </w:tc>
        <w:tc>
          <w:tcPr>
            <w:tcW w:w="1276" w:type="dxa"/>
            <w:vAlign w:val="center"/>
          </w:tcPr>
          <w:p>
            <w:pPr>
              <w:spacing w:line="360" w:lineRule="auto"/>
              <w:jc w:val="center"/>
              <w:rPr>
                <w:rFonts w:hint="default" w:ascii="宋体" w:hAnsi="宋体"/>
                <w:sz w:val="24"/>
                <w:lang w:val="en-US"/>
              </w:rPr>
            </w:pPr>
            <w:r>
              <w:rPr>
                <w:rFonts w:hint="eastAsia" w:ascii="宋体" w:hAnsi="宋体"/>
                <w:sz w:val="24"/>
                <w:lang w:val="en-US" w:eastAsia="zh-CN"/>
              </w:rPr>
              <w:t>120</w:t>
            </w:r>
          </w:p>
        </w:tc>
        <w:tc>
          <w:tcPr>
            <w:tcW w:w="1565" w:type="dxa"/>
            <w:vAlign w:val="center"/>
          </w:tcPr>
          <w:p>
            <w:pPr>
              <w:spacing w:line="360" w:lineRule="auto"/>
              <w:jc w:val="center"/>
              <w:rPr>
                <w:rFonts w:ascii="宋体" w:hAnsi="宋体"/>
                <w:sz w:val="24"/>
              </w:rPr>
            </w:pPr>
          </w:p>
        </w:tc>
        <w:tc>
          <w:tcPr>
            <w:tcW w:w="1974" w:type="dxa"/>
            <w:vAlign w:val="center"/>
          </w:tcPr>
          <w:p>
            <w:pPr>
              <w:spacing w:line="360" w:lineRule="auto"/>
              <w:jc w:val="left"/>
              <w:rPr>
                <w:rFonts w:hint="eastAsia" w:ascii="宋体" w:hAnsi="宋体"/>
                <w:sz w:val="24"/>
              </w:rPr>
            </w:pPr>
          </w:p>
        </w:tc>
        <w:tc>
          <w:tcPr>
            <w:tcW w:w="1974" w:type="dxa"/>
            <w:vAlign w:val="center"/>
          </w:tcPr>
          <w:p>
            <w:pPr>
              <w:spacing w:line="360" w:lineRule="auto"/>
              <w:jc w:val="left"/>
              <w:rPr>
                <w:rFonts w:ascii="宋体" w:hAnsi="宋体"/>
                <w:sz w:val="24"/>
              </w:rPr>
            </w:pPr>
            <w:r>
              <w:rPr>
                <w:rFonts w:hint="eastAsia" w:ascii="宋体" w:hAnsi="宋体"/>
                <w:sz w:val="24"/>
              </w:rPr>
              <w:t xml:space="preserve">  根据需方通知分批次送货，约15吨/次，按月结算。</w:t>
            </w:r>
          </w:p>
        </w:tc>
      </w:tr>
    </w:tbl>
    <w:p>
      <w:pPr>
        <w:spacing w:line="360" w:lineRule="auto"/>
        <w:ind w:firstLine="480" w:firstLineChars="200"/>
        <w:rPr>
          <w:rFonts w:ascii="宋体" w:hAnsi="宋体"/>
          <w:bCs/>
          <w:sz w:val="24"/>
        </w:rPr>
      </w:pPr>
      <w:r>
        <w:rPr>
          <w:rFonts w:hint="eastAsia" w:ascii="宋体" w:hAnsi="宋体"/>
          <w:sz w:val="24"/>
        </w:rPr>
        <w:t>二、运输、</w:t>
      </w:r>
      <w:r>
        <w:rPr>
          <w:rFonts w:hint="eastAsia" w:ascii="宋体" w:hAnsi="宋体"/>
          <w:bCs/>
          <w:sz w:val="24"/>
        </w:rPr>
        <w:t>交（提）货方式、地点及费用：</w:t>
      </w:r>
    </w:p>
    <w:p>
      <w:pPr>
        <w:spacing w:line="360" w:lineRule="auto"/>
        <w:ind w:firstLine="480"/>
        <w:rPr>
          <w:rFonts w:ascii="宋体" w:hAnsi="宋体"/>
          <w:bCs/>
          <w:sz w:val="24"/>
        </w:rPr>
      </w:pPr>
      <w:r>
        <w:rPr>
          <w:rFonts w:hint="eastAsia" w:ascii="宋体" w:hAnsi="宋体"/>
          <w:bCs/>
          <w:sz w:val="24"/>
        </w:rPr>
        <w:t>1、供方须向需方提供企业营业、危险化学品运营资质、危险化学品运输许可证（或委托运输单位合同），相关风险由供方承担。</w:t>
      </w:r>
    </w:p>
    <w:p>
      <w:pPr>
        <w:spacing w:line="360" w:lineRule="auto"/>
        <w:ind w:firstLine="480"/>
        <w:rPr>
          <w:rFonts w:ascii="宋体" w:hAnsi="宋体"/>
          <w:bCs/>
          <w:sz w:val="24"/>
        </w:rPr>
      </w:pPr>
      <w:r>
        <w:rPr>
          <w:rFonts w:hint="eastAsia" w:ascii="宋体" w:hAnsi="宋体"/>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、供方在接到需方通知后3天内送达。</w:t>
      </w:r>
    </w:p>
    <w:p>
      <w:pPr>
        <w:spacing w:line="360" w:lineRule="auto"/>
        <w:ind w:firstLine="480" w:firstLineChars="200"/>
        <w:rPr>
          <w:rFonts w:ascii="宋体" w:hAnsi="宋体"/>
          <w:b/>
          <w:sz w:val="24"/>
        </w:rPr>
      </w:pPr>
      <w:r>
        <w:rPr>
          <w:rFonts w:hint="eastAsia" w:ascii="宋体" w:hAnsi="宋体"/>
          <w:sz w:val="24"/>
        </w:rPr>
        <w:t>三、数量验收、质量验收</w:t>
      </w:r>
      <w:r>
        <w:rPr>
          <w:rFonts w:ascii="宋体" w:hAnsi="宋体"/>
          <w:bCs/>
          <w:sz w:val="24"/>
        </w:rPr>
        <w:t>：</w:t>
      </w:r>
    </w:p>
    <w:p>
      <w:pPr>
        <w:spacing w:line="360" w:lineRule="auto"/>
        <w:ind w:firstLine="480" w:firstLineChars="200"/>
        <w:rPr>
          <w:rFonts w:ascii="宋体" w:hAnsi="宋体"/>
          <w:sz w:val="24"/>
        </w:rPr>
      </w:pPr>
      <w:r>
        <w:rPr>
          <w:rFonts w:hint="eastAsia" w:ascii="宋体" w:hAnsi="宋体"/>
          <w:sz w:val="24"/>
        </w:rPr>
        <w:t>1、数量验收：以需方厂内电子汽车衡的计量数量为准，双方共同监磅，并作为结算依据。如供方需要，可以委托第三方进行过磅校验，费用由供方负责，每次送货需提供该批次产品出厂检验报告。</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、质量验收：需方分阶段对产品取样,化验由需方按照现有的设备进行化验，并以化验出来的氨水浓</w:t>
      </w:r>
      <w:r>
        <w:rPr>
          <w:rFonts w:ascii="宋体" w:hAnsi="宋体"/>
          <w:sz w:val="24"/>
        </w:rPr>
        <w:t>度</w:t>
      </w:r>
      <w:r>
        <w:rPr>
          <w:rFonts w:hint="eastAsia" w:ascii="宋体" w:hAnsi="宋体"/>
          <w:sz w:val="24"/>
        </w:rPr>
        <w:t>结果作为结算依据。（四小时内出化验报告）表二：</w:t>
      </w:r>
      <w:r>
        <w:rPr>
          <w:rFonts w:ascii="宋体" w:hAnsi="宋体"/>
          <w:sz w:val="24"/>
        </w:rPr>
        <w:t xml:space="preserve"> </w:t>
      </w:r>
    </w:p>
    <w:tbl>
      <w:tblPr>
        <w:tblStyle w:val="1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序号</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检验质量（氨水浓</w:t>
            </w:r>
            <w:r>
              <w:rPr>
                <w:rFonts w:ascii="宋体" w:hAnsi="宋体"/>
                <w:szCs w:val="21"/>
              </w:rPr>
              <w:t>度）</w:t>
            </w:r>
          </w:p>
        </w:tc>
        <w:tc>
          <w:tcPr>
            <w:tcW w:w="5107" w:type="dxa"/>
            <w:shd w:val="clear" w:color="auto" w:fill="auto"/>
            <w:vAlign w:val="center"/>
          </w:tcPr>
          <w:p>
            <w:pPr>
              <w:spacing w:line="520" w:lineRule="exact"/>
              <w:jc w:val="center"/>
              <w:rPr>
                <w:rFonts w:ascii="宋体" w:hAnsi="宋体"/>
                <w:szCs w:val="21"/>
              </w:rPr>
            </w:pPr>
            <w:r>
              <w:rPr>
                <w:rFonts w:hint="eastAsia"/>
              </w:rPr>
              <w:t>每批次结算价（元/吨）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1</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浓度≥20</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按合同单价。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2</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3</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19%＞浓度≥18%</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30</w:t>
            </w:r>
            <w:r>
              <w:rPr>
                <w:rFonts w:hint="eastAsia"/>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4</w:t>
            </w:r>
          </w:p>
        </w:tc>
        <w:tc>
          <w:tcPr>
            <w:tcW w:w="2410" w:type="dxa"/>
            <w:shd w:val="clear" w:color="auto" w:fill="auto"/>
            <w:vAlign w:val="center"/>
          </w:tcPr>
          <w:p>
            <w:pPr>
              <w:spacing w:line="520" w:lineRule="exact"/>
              <w:jc w:val="center"/>
              <w:rPr>
                <w:rFonts w:ascii="宋体" w:hAnsi="宋体"/>
                <w:szCs w:val="21"/>
              </w:rPr>
            </w:pPr>
            <w:r>
              <w:rPr>
                <w:rFonts w:ascii="宋体" w:hAnsi="宋体"/>
                <w:szCs w:val="21"/>
              </w:rPr>
              <w:t>18%</w:t>
            </w:r>
            <w:r>
              <w:rPr>
                <w:rFonts w:hint="eastAsia" w:ascii="宋体" w:hAnsi="宋体"/>
                <w:szCs w:val="21"/>
              </w:rPr>
              <w:t>＞浓</w:t>
            </w:r>
            <w:r>
              <w:rPr>
                <w:rFonts w:ascii="宋体" w:hAnsi="宋体"/>
                <w:szCs w:val="21"/>
              </w:rPr>
              <w:t>度</w:t>
            </w:r>
            <w:r>
              <w:rPr>
                <w:rFonts w:hint="eastAsia" w:ascii="宋体" w:hAnsi="宋体"/>
                <w:szCs w:val="21"/>
              </w:rPr>
              <w:t>≥</w:t>
            </w:r>
            <w:r>
              <w:rPr>
                <w:rFonts w:ascii="宋体" w:hAnsi="宋体"/>
                <w:szCs w:val="21"/>
              </w:rPr>
              <w:t>17%</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60</w:t>
            </w:r>
            <w:r>
              <w:rPr>
                <w:rFonts w:hint="eastAsia"/>
              </w:rPr>
              <w:t>元/</w:t>
            </w:r>
            <w:r>
              <w:t>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5</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w:t>
            </w:r>
            <w:r>
              <w:rPr>
                <w:rFonts w:ascii="宋体" w:hAnsi="宋体"/>
                <w:szCs w:val="21"/>
              </w:rPr>
              <w:t>17%</w:t>
            </w:r>
          </w:p>
        </w:tc>
        <w:tc>
          <w:tcPr>
            <w:tcW w:w="5107" w:type="dxa"/>
            <w:shd w:val="clear" w:color="auto" w:fill="auto"/>
            <w:vAlign w:val="center"/>
          </w:tcPr>
          <w:p>
            <w:pPr>
              <w:spacing w:line="276" w:lineRule="auto"/>
              <w:rPr>
                <w:rFonts w:ascii="宋体" w:hAnsi="宋体"/>
                <w:szCs w:val="21"/>
              </w:rPr>
            </w:pPr>
            <w:r>
              <w:rPr>
                <w:rFonts w:hint="eastAsia"/>
              </w:rPr>
              <w:t>按合同单价的50%结算。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6</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浓度≤1</w:t>
            </w:r>
            <w:r>
              <w:rPr>
                <w:rFonts w:ascii="宋体" w:hAnsi="宋体"/>
                <w:szCs w:val="21"/>
              </w:rPr>
              <w:t>5</w:t>
            </w:r>
            <w:r>
              <w:rPr>
                <w:rFonts w:hint="eastAsia" w:ascii="宋体" w:hAnsi="宋体"/>
                <w:szCs w:val="21"/>
              </w:rPr>
              <w:t>%</w:t>
            </w:r>
          </w:p>
        </w:tc>
        <w:tc>
          <w:tcPr>
            <w:tcW w:w="5107" w:type="dxa"/>
            <w:shd w:val="clear" w:color="auto" w:fill="auto"/>
            <w:vAlign w:val="center"/>
          </w:tcPr>
          <w:p>
            <w:pPr>
              <w:spacing w:line="276" w:lineRule="auto"/>
              <w:rPr>
                <w:rFonts w:ascii="宋体" w:hAnsi="宋体"/>
                <w:szCs w:val="21"/>
              </w:rPr>
            </w:pPr>
            <w:r>
              <w:rPr>
                <w:rFonts w:hint="eastAsia"/>
              </w:rPr>
              <w:t>需方将无偿使用该批次产品</w:t>
            </w:r>
          </w:p>
        </w:tc>
      </w:tr>
    </w:tbl>
    <w:p>
      <w:pPr>
        <w:spacing w:line="360" w:lineRule="auto"/>
        <w:ind w:firstLine="480" w:firstLineChars="200"/>
        <w:rPr>
          <w:rFonts w:ascii="宋体" w:hAnsi="宋体"/>
          <w:sz w:val="24"/>
        </w:rPr>
      </w:pPr>
      <w:r>
        <w:rPr>
          <w:rFonts w:hint="eastAsia" w:ascii="宋体" w:hAnsi="宋体"/>
          <w:sz w:val="24"/>
        </w:rPr>
        <w:t>四、履约保证金：</w:t>
      </w:r>
    </w:p>
    <w:p>
      <w:pPr>
        <w:spacing w:line="360" w:lineRule="auto"/>
        <w:ind w:firstLine="480" w:firstLineChars="200"/>
        <w:rPr>
          <w:rFonts w:ascii="宋体" w:hAnsi="宋体"/>
          <w:sz w:val="24"/>
        </w:rPr>
      </w:pPr>
      <w:r>
        <w:rPr>
          <w:rFonts w:hint="eastAsia" w:ascii="宋体" w:hAnsi="宋体"/>
          <w:sz w:val="24"/>
        </w:rPr>
        <w:t>经供需双方协商一致，需方将原投标保证金</w:t>
      </w:r>
      <w:r>
        <w:rPr>
          <w:rFonts w:hint="eastAsia" w:ascii="宋体" w:hAnsi="宋体"/>
          <w:sz w:val="24"/>
          <w:lang w:val="en-US" w:eastAsia="zh-CN"/>
        </w:rPr>
        <w:t>伍仟</w:t>
      </w:r>
      <w:r>
        <w:rPr>
          <w:rFonts w:hint="eastAsia" w:ascii="宋体" w:hAnsi="宋体"/>
          <w:sz w:val="24"/>
        </w:rPr>
        <w:t>元整（</w:t>
      </w:r>
      <w:r>
        <w:rPr>
          <w:rFonts w:hint="eastAsia" w:asciiTheme="minorEastAsia" w:hAnsiTheme="minorEastAsia"/>
          <w:sz w:val="24"/>
        </w:rPr>
        <w:t>¥</w:t>
      </w:r>
      <w:r>
        <w:rPr>
          <w:rFonts w:hint="eastAsia" w:ascii="宋体" w:hAnsi="宋体"/>
          <w:sz w:val="24"/>
          <w:lang w:val="en-US" w:eastAsia="zh-CN"/>
        </w:rPr>
        <w:t>5</w:t>
      </w:r>
      <w:r>
        <w:rPr>
          <w:rFonts w:hint="eastAsia" w:ascii="宋体" w:hAnsi="宋体"/>
          <w:sz w:val="24"/>
        </w:rPr>
        <w:t>000.00元）自动转为履约保证金,</w:t>
      </w:r>
      <w:r>
        <w:rPr>
          <w:rFonts w:hint="eastAsia"/>
        </w:rPr>
        <w:t xml:space="preserve"> </w:t>
      </w:r>
      <w:r>
        <w:rPr>
          <w:rFonts w:hint="eastAsia" w:ascii="宋体" w:hAnsi="宋体"/>
          <w:sz w:val="24"/>
        </w:rPr>
        <w:t>履约保证金在供方依约完整全面履行完合同后并经供方书面申请后五个工作日内退还；若供方未能履约，需方无需退还履约保证金。</w:t>
      </w:r>
    </w:p>
    <w:p>
      <w:pPr>
        <w:spacing w:line="360" w:lineRule="auto"/>
        <w:ind w:firstLine="480" w:firstLineChars="200"/>
        <w:rPr>
          <w:rFonts w:ascii="宋体" w:hAnsi="宋体"/>
          <w:bCs/>
          <w:sz w:val="24"/>
        </w:rPr>
      </w:pPr>
      <w:r>
        <w:rPr>
          <w:rFonts w:hint="eastAsia" w:ascii="宋体" w:hAnsi="宋体"/>
          <w:bCs/>
          <w:sz w:val="24"/>
        </w:rPr>
        <w:t>五、结算方式、时间、地点：</w:t>
      </w:r>
    </w:p>
    <w:p>
      <w:pPr>
        <w:spacing w:line="500" w:lineRule="exact"/>
        <w:ind w:firstLine="240" w:firstLineChars="100"/>
        <w:rPr>
          <w:rFonts w:hint="eastAsia" w:ascii="宋体" w:hAnsi="宋体"/>
          <w:bCs/>
          <w:sz w:val="24"/>
          <w:szCs w:val="24"/>
        </w:rPr>
      </w:pPr>
      <w:r>
        <w:rPr>
          <w:rFonts w:hint="eastAsia" w:ascii="宋体" w:hAnsi="宋体"/>
          <w:bCs/>
          <w:sz w:val="24"/>
          <w:szCs w:val="24"/>
        </w:rPr>
        <w:t>1、货物到厂区后经需方核对检验合格，供方出具正规合法有效的  13% 增值税全额专用发票给需方，供方开具电子发票时，备注栏需备注成交方银行账号、开户行、收款人、复核人，并发送OFD版本和XM L版本电子档给需方存档，需方在书面核实无误后并在收到发票后15个工作日内支付相应款项。（如15日内需方未验收，视为验收合格）。</w:t>
      </w:r>
    </w:p>
    <w:p>
      <w:pPr>
        <w:spacing w:line="500" w:lineRule="exact"/>
        <w:ind w:firstLine="240" w:firstLineChars="100"/>
        <w:rPr>
          <w:rFonts w:hint="eastAsia" w:ascii="宋体" w:hAnsi="宋体"/>
          <w:bCs/>
          <w:szCs w:val="28"/>
        </w:rPr>
      </w:pPr>
      <w:r>
        <w:rPr>
          <w:rFonts w:hint="eastAsia" w:ascii="宋体" w:hAnsi="宋体"/>
          <w:bCs/>
          <w:sz w:val="24"/>
          <w:szCs w:val="24"/>
        </w:rPr>
        <w:t>2、若在合同期内增值税率发生调整且含税单价也需做相应调整。</w:t>
      </w:r>
    </w:p>
    <w:p>
      <w:pPr>
        <w:spacing w:line="360" w:lineRule="auto"/>
        <w:ind w:firstLine="240" w:firstLineChars="100"/>
        <w:rPr>
          <w:rFonts w:hint="eastAsia" w:ascii="宋体" w:hAnsi="宋体"/>
          <w:bCs/>
          <w:sz w:val="24"/>
        </w:rPr>
      </w:pPr>
      <w:r>
        <w:rPr>
          <w:rFonts w:hint="eastAsia" w:ascii="宋体" w:hAnsi="宋体"/>
          <w:bCs/>
          <w:sz w:val="24"/>
          <w:lang w:val="en-US" w:eastAsia="zh-CN"/>
        </w:rPr>
        <w:t>3</w:t>
      </w:r>
      <w:r>
        <w:rPr>
          <w:rFonts w:hint="eastAsia" w:ascii="宋体" w:hAnsi="宋体"/>
          <w:bCs/>
          <w:sz w:val="24"/>
        </w:rPr>
        <w:t>、在合同期内供货数量以实际供应量结算，总数量不得超过合同签订数量</w:t>
      </w:r>
      <w:r>
        <w:rPr>
          <w:rFonts w:hint="eastAsia" w:ascii="宋体" w:hAnsi="宋体"/>
          <w:bCs/>
          <w:sz w:val="24"/>
          <w:lang w:val="en-US" w:eastAsia="zh-CN"/>
        </w:rPr>
        <w:t>12</w:t>
      </w:r>
      <w:r>
        <w:rPr>
          <w:rFonts w:hint="eastAsia" w:ascii="宋体" w:hAnsi="宋体"/>
          <w:bCs/>
          <w:sz w:val="24"/>
        </w:rPr>
        <w:t>0吨。</w:t>
      </w:r>
    </w:p>
    <w:p>
      <w:pPr>
        <w:spacing w:line="360" w:lineRule="auto"/>
        <w:ind w:firstLine="480" w:firstLineChars="200"/>
        <w:rPr>
          <w:rFonts w:ascii="宋体" w:hAnsi="宋体"/>
          <w:bCs/>
          <w:sz w:val="24"/>
        </w:rPr>
      </w:pPr>
      <w:r>
        <w:rPr>
          <w:rFonts w:hint="eastAsia" w:ascii="宋体" w:hAnsi="宋体"/>
          <w:sz w:val="24"/>
        </w:rPr>
        <w:t>六、</w:t>
      </w:r>
      <w:r>
        <w:rPr>
          <w:rFonts w:hint="eastAsia" w:ascii="宋体" w:hAnsi="宋体"/>
          <w:bCs/>
          <w:sz w:val="24"/>
        </w:rPr>
        <w:t>违约责任：</w:t>
      </w:r>
    </w:p>
    <w:p>
      <w:pPr>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供方产品质量不符合合同第三条规定的，按照第三条第2款约定承担违约责任。</w:t>
      </w:r>
    </w:p>
    <w:p>
      <w:pPr>
        <w:spacing w:line="360" w:lineRule="auto"/>
        <w:ind w:firstLine="480" w:firstLineChars="200"/>
        <w:rPr>
          <w:rFonts w:ascii="宋体" w:hAnsi="宋体"/>
          <w:sz w:val="24"/>
        </w:rPr>
      </w:pPr>
      <w:r>
        <w:rPr>
          <w:rFonts w:hint="eastAsia" w:ascii="宋体" w:hAnsi="宋体"/>
          <w:sz w:val="24"/>
        </w:rPr>
        <w:t>2、供方若延迟交货，每日须承担该合同总价款的千分之五违约金；逾期五个工作日，需方可单方解除合同，且供方仍应承担违约责任，并赔偿给需方造成的任何损失。</w:t>
      </w:r>
    </w:p>
    <w:p>
      <w:pPr>
        <w:spacing w:line="360" w:lineRule="auto"/>
        <w:ind w:firstLine="480" w:firstLineChars="200"/>
        <w:rPr>
          <w:rFonts w:ascii="宋体" w:hAnsi="宋体"/>
          <w:sz w:val="24"/>
        </w:rPr>
      </w:pPr>
      <w:r>
        <w:rPr>
          <w:rFonts w:hint="eastAsia" w:ascii="宋体" w:hAnsi="宋体"/>
          <w:sz w:val="24"/>
        </w:rPr>
        <w:t>七、安全责任</w:t>
      </w:r>
      <w:r>
        <w:rPr>
          <w:rFonts w:ascii="宋体" w:hAnsi="宋体"/>
          <w:sz w:val="24"/>
        </w:rPr>
        <w:t>条款：</w:t>
      </w:r>
    </w:p>
    <w:p>
      <w:pPr>
        <w:spacing w:line="360" w:lineRule="auto"/>
        <w:ind w:firstLine="480" w:firstLineChars="200"/>
        <w:rPr>
          <w:rFonts w:ascii="宋体" w:hAnsi="宋体"/>
          <w:sz w:val="24"/>
        </w:rPr>
      </w:pPr>
      <w:r>
        <w:rPr>
          <w:rFonts w:hint="eastAsia" w:ascii="宋体" w:hAnsi="宋体"/>
          <w:sz w:val="24"/>
        </w:rPr>
        <w:t>供方进入需方生产区域应遵守需方安全生产管理规定，车辆应</w:t>
      </w:r>
      <w:r>
        <w:rPr>
          <w:rFonts w:ascii="宋体" w:hAnsi="宋体"/>
          <w:sz w:val="24"/>
        </w:rPr>
        <w:t>按规定路线行驶</w:t>
      </w:r>
      <w:r>
        <w:rPr>
          <w:rFonts w:hint="eastAsia" w:ascii="宋体" w:hAnsi="宋体"/>
          <w:sz w:val="24"/>
        </w:rPr>
        <w:t>，不得</w:t>
      </w:r>
      <w:r>
        <w:rPr>
          <w:rFonts w:ascii="宋体" w:hAnsi="宋体"/>
          <w:sz w:val="24"/>
        </w:rPr>
        <w:t>随意进入与本次生产</w:t>
      </w:r>
      <w:r>
        <w:rPr>
          <w:rFonts w:hint="eastAsia" w:ascii="宋体" w:hAnsi="宋体"/>
          <w:sz w:val="24"/>
        </w:rPr>
        <w:t>（</w:t>
      </w:r>
      <w:r>
        <w:rPr>
          <w:rFonts w:ascii="宋体" w:hAnsi="宋体"/>
          <w:sz w:val="24"/>
        </w:rPr>
        <w:t>送货）无关</w:t>
      </w:r>
      <w:r>
        <w:rPr>
          <w:rFonts w:hint="eastAsia" w:ascii="宋体" w:hAnsi="宋体"/>
          <w:sz w:val="24"/>
        </w:rPr>
        <w:t>的</w:t>
      </w:r>
      <w:r>
        <w:rPr>
          <w:rFonts w:ascii="宋体" w:hAnsi="宋体"/>
          <w:sz w:val="24"/>
        </w:rPr>
        <w:t>区域，</w:t>
      </w:r>
      <w:r>
        <w:rPr>
          <w:rFonts w:hint="eastAsia" w:ascii="宋体" w:hAnsi="宋体"/>
          <w:sz w:val="24"/>
        </w:rPr>
        <w:t>进入</w:t>
      </w:r>
      <w:r>
        <w:rPr>
          <w:rFonts w:ascii="宋体" w:hAnsi="宋体"/>
          <w:sz w:val="24"/>
        </w:rPr>
        <w:t>厂区人员</w:t>
      </w:r>
      <w:r>
        <w:rPr>
          <w:rFonts w:hint="eastAsia" w:ascii="宋体" w:hAnsi="宋体"/>
          <w:sz w:val="24"/>
        </w:rPr>
        <w:t>必须按国家有关规定为施工人员配备劳动防护用具、安全用具等，如因供方人员违规</w:t>
      </w:r>
      <w:r>
        <w:rPr>
          <w:rFonts w:ascii="宋体" w:hAnsi="宋体"/>
          <w:sz w:val="24"/>
        </w:rPr>
        <w:t>操作或</w:t>
      </w:r>
      <w:r>
        <w:rPr>
          <w:rFonts w:hint="eastAsia" w:ascii="宋体" w:hAnsi="宋体"/>
          <w:sz w:val="24"/>
        </w:rPr>
        <w:t>疏忽等原因造</w:t>
      </w:r>
      <w:r>
        <w:rPr>
          <w:rFonts w:ascii="宋体" w:hAnsi="宋体"/>
          <w:sz w:val="24"/>
        </w:rPr>
        <w:t>成的损失由供方负责赔偿。</w:t>
      </w:r>
    </w:p>
    <w:p>
      <w:pPr>
        <w:spacing w:line="360" w:lineRule="auto"/>
        <w:ind w:firstLine="480" w:firstLineChars="200"/>
        <w:rPr>
          <w:rFonts w:ascii="宋体" w:hAnsi="宋体"/>
          <w:bCs/>
          <w:sz w:val="24"/>
        </w:rPr>
      </w:pPr>
      <w:r>
        <w:rPr>
          <w:rFonts w:hint="eastAsia" w:ascii="宋体" w:hAnsi="宋体"/>
          <w:sz w:val="24"/>
        </w:rPr>
        <w:t>八、</w:t>
      </w:r>
      <w:r>
        <w:rPr>
          <w:rFonts w:hint="eastAsia" w:ascii="宋体" w:hAnsi="宋体"/>
          <w:bCs/>
          <w:sz w:val="24"/>
        </w:rPr>
        <w:t>合同争议的解决方式：</w:t>
      </w:r>
    </w:p>
    <w:p>
      <w:pPr>
        <w:spacing w:line="360" w:lineRule="auto"/>
        <w:rPr>
          <w:rStyle w:val="32"/>
          <w:rFonts w:ascii="宋体" w:hAnsi="宋体"/>
          <w:b w:val="0"/>
          <w:sz w:val="24"/>
          <w:szCs w:val="24"/>
        </w:rPr>
      </w:pPr>
      <w:r>
        <w:rPr>
          <w:rFonts w:hint="eastAsia" w:ascii="宋体" w:hAnsi="宋体"/>
          <w:bCs/>
          <w:sz w:val="24"/>
        </w:rPr>
        <w:t xml:space="preserve">    </w:t>
      </w:r>
      <w:r>
        <w:rPr>
          <w:rFonts w:hint="eastAsia" w:ascii="宋体" w:hAnsi="宋体"/>
          <w:sz w:val="24"/>
        </w:rPr>
        <w:t>本合同在履行过程中发生的争议，由双方当事人协商解决，协商、调解不成的，可依法向需方所在地有管辖权的人民法院起诉。</w:t>
      </w:r>
    </w:p>
    <w:p>
      <w:pPr>
        <w:spacing w:line="360" w:lineRule="auto"/>
        <w:ind w:firstLine="480" w:firstLineChars="200"/>
        <w:rPr>
          <w:rFonts w:ascii="宋体" w:hAnsi="宋体"/>
          <w:bCs/>
          <w:sz w:val="24"/>
        </w:rPr>
      </w:pPr>
      <w:r>
        <w:rPr>
          <w:rFonts w:hint="eastAsia" w:ascii="宋体" w:hAnsi="宋体"/>
          <w:sz w:val="24"/>
        </w:rPr>
        <w:t>九、</w:t>
      </w:r>
      <w:r>
        <w:rPr>
          <w:rFonts w:hint="eastAsia" w:ascii="宋体" w:hAnsi="宋体"/>
          <w:bCs/>
          <w:sz w:val="24"/>
        </w:rPr>
        <w:t>其他：</w:t>
      </w:r>
    </w:p>
    <w:p>
      <w:pPr>
        <w:spacing w:line="360" w:lineRule="auto"/>
        <w:ind w:left="105" w:leftChars="50" w:firstLine="360" w:firstLineChars="150"/>
        <w:rPr>
          <w:rFonts w:ascii="宋体" w:hAnsi="宋体"/>
          <w:sz w:val="24"/>
        </w:rPr>
      </w:pPr>
      <w:r>
        <w:rPr>
          <w:rFonts w:hint="eastAsia" w:ascii="宋体" w:hAnsi="宋体"/>
          <w:sz w:val="24"/>
        </w:rPr>
        <w:t>1、本合同自签字盖章之日起生效。合同期：</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w:t>
      </w:r>
      <w:r>
        <w:rPr>
          <w:rFonts w:hint="eastAsia" w:ascii="宋体" w:hAnsi="宋体"/>
          <w:sz w:val="24"/>
        </w:rPr>
        <w:t>日至</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 xml:space="preserve"> 30</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color w:val="000000"/>
          <w:kern w:val="0"/>
          <w:sz w:val="24"/>
        </w:rPr>
        <w:t>本合同正本一式三份，需方执二份，供方执一份</w:t>
      </w:r>
      <w:r>
        <w:rPr>
          <w:rFonts w:hint="eastAsia" w:ascii="宋体" w:hAnsi="宋体"/>
          <w:sz w:val="24"/>
        </w:rPr>
        <w:t>。</w:t>
      </w:r>
    </w:p>
    <w:p>
      <w:pPr>
        <w:spacing w:line="120" w:lineRule="auto"/>
        <w:ind w:firstLine="420" w:firstLineChars="200"/>
        <w:rPr>
          <w:rFonts w:ascii="宋体" w:hAnsi="宋体"/>
          <w:szCs w:val="28"/>
        </w:rPr>
      </w:pPr>
    </w:p>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723" w:type="dxa"/>
          </w:tcPr>
          <w:p>
            <w:pPr>
              <w:spacing w:line="360" w:lineRule="auto"/>
              <w:rPr>
                <w:rFonts w:ascii="宋体" w:hAnsi="宋体"/>
                <w:sz w:val="24"/>
              </w:rPr>
            </w:pPr>
            <w:r>
              <w:rPr>
                <w:rFonts w:hint="eastAsia" w:ascii="宋体" w:hAnsi="宋体"/>
                <w:sz w:val="24"/>
              </w:rPr>
              <w:t>供方：</w:t>
            </w:r>
          </w:p>
          <w:p>
            <w:pPr>
              <w:spacing w:line="360" w:lineRule="auto"/>
              <w:rPr>
                <w:rFonts w:ascii="宋体" w:hAnsi="宋体"/>
                <w:sz w:val="24"/>
              </w:rPr>
            </w:pPr>
            <w:r>
              <w:rPr>
                <w:rFonts w:hint="eastAsia" w:ascii="宋体" w:hAnsi="宋体"/>
                <w:sz w:val="24"/>
              </w:rPr>
              <w:t xml:space="preserve">地址： </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bCs/>
                <w:sz w:val="24"/>
              </w:rPr>
            </w:pPr>
            <w:r>
              <w:rPr>
                <w:rFonts w:hint="eastAsia" w:ascii="宋体" w:hAnsi="宋体"/>
                <w:sz w:val="24"/>
              </w:rPr>
              <w:t>开户银行：</w:t>
            </w:r>
          </w:p>
          <w:p>
            <w:pPr>
              <w:spacing w:line="360" w:lineRule="auto"/>
              <w:rPr>
                <w:rFonts w:ascii="宋体" w:hAnsi="宋体"/>
                <w:sz w:val="24"/>
              </w:rPr>
            </w:pPr>
            <w:r>
              <w:rPr>
                <w:rFonts w:hint="eastAsia" w:ascii="宋体" w:hAnsi="宋体"/>
                <w:sz w:val="24"/>
              </w:rPr>
              <w:t>账号：</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c>
          <w:tcPr>
            <w:tcW w:w="4628" w:type="dxa"/>
          </w:tcPr>
          <w:p>
            <w:pPr>
              <w:spacing w:line="360" w:lineRule="auto"/>
              <w:rPr>
                <w:rFonts w:ascii="宋体" w:hAnsi="宋体"/>
                <w:sz w:val="24"/>
              </w:rPr>
            </w:pPr>
            <w:r>
              <w:rPr>
                <w:rFonts w:hint="eastAsia" w:ascii="宋体" w:hAnsi="宋体"/>
                <w:sz w:val="24"/>
              </w:rPr>
              <w:t xml:space="preserve">需方：厦门海发环保能源股份有限公司   </w:t>
            </w:r>
          </w:p>
          <w:p>
            <w:pPr>
              <w:spacing w:line="360" w:lineRule="auto"/>
              <w:rPr>
                <w:rFonts w:ascii="宋体" w:hAnsi="宋体"/>
                <w:sz w:val="24"/>
              </w:rPr>
            </w:pPr>
            <w:r>
              <w:rPr>
                <w:rFonts w:hint="eastAsia" w:ascii="宋体" w:hAnsi="宋体"/>
                <w:sz w:val="24"/>
              </w:rPr>
              <w:t>单位地址：厦门市海沧区阳光西路288号</w:t>
            </w:r>
          </w:p>
          <w:p>
            <w:pPr>
              <w:spacing w:line="360" w:lineRule="auto"/>
              <w:rPr>
                <w:rFonts w:ascii="宋体" w:hAnsi="宋体"/>
                <w:sz w:val="24"/>
              </w:rPr>
            </w:pPr>
            <w:r>
              <w:rPr>
                <w:rFonts w:hint="eastAsia" w:ascii="宋体" w:hAnsi="宋体"/>
                <w:sz w:val="24"/>
              </w:rPr>
              <w:t>法定代表人：</w:t>
            </w:r>
            <w:r>
              <w:rPr>
                <w:rFonts w:ascii="宋体" w:hAnsi="宋体"/>
                <w:sz w:val="24"/>
              </w:rPr>
              <w:t xml:space="preserve">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bCs/>
                <w:sz w:val="24"/>
                <w:lang w:eastAsia="zh-CN"/>
              </w:rPr>
            </w:pPr>
            <w:r>
              <w:rPr>
                <w:rFonts w:hint="eastAsia" w:ascii="宋体" w:hAnsi="宋体"/>
                <w:sz w:val="24"/>
              </w:rPr>
              <w:t>开户银行：</w:t>
            </w:r>
            <w:r>
              <w:rPr>
                <w:rFonts w:hint="eastAsia" w:ascii="宋体" w:hAnsi="宋体"/>
                <w:sz w:val="24"/>
                <w:lang w:val="en-US" w:eastAsia="zh-CN"/>
              </w:rPr>
              <w:t xml:space="preserve"> </w:t>
            </w:r>
          </w:p>
          <w:p>
            <w:pPr>
              <w:spacing w:line="360" w:lineRule="auto"/>
              <w:rPr>
                <w:rFonts w:hint="eastAsia" w:ascii="宋体" w:hAnsi="宋体"/>
                <w:sz w:val="24"/>
                <w:lang w:val="en-US" w:eastAsia="zh-CN"/>
              </w:rPr>
            </w:pPr>
            <w:r>
              <w:rPr>
                <w:rFonts w:hint="eastAsia" w:ascii="宋体" w:hAnsi="宋体"/>
                <w:sz w:val="24"/>
              </w:rPr>
              <w:t>账号：</w:t>
            </w:r>
            <w:r>
              <w:rPr>
                <w:rFonts w:hint="eastAsia" w:ascii="宋体" w:hAnsi="宋体"/>
                <w:sz w:val="24"/>
                <w:lang w:val="en-US" w:eastAsia="zh-CN"/>
              </w:rPr>
              <w:t xml:space="preserve">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r>
    </w:tbl>
    <w:p/>
    <w:p>
      <w:pPr>
        <w:spacing w:line="276" w:lineRule="auto"/>
        <w:ind w:firstLine="420" w:firstLineChars="200"/>
        <w:rPr>
          <w:rFonts w:asciiTheme="minorEastAsia" w:hAnsiTheme="minorEastAsia"/>
          <w:szCs w:val="28"/>
        </w:rPr>
      </w:pPr>
    </w:p>
    <w:p/>
    <w:p/>
    <w:p/>
    <w:p/>
    <w:p/>
    <w:p/>
    <w:p/>
    <w:p/>
    <w:p/>
    <w:p/>
    <w:p/>
    <w:p/>
    <w:p/>
    <w:p/>
    <w:p/>
    <w:p/>
    <w:p/>
    <w:p/>
    <w:p/>
    <w:p/>
    <w:p/>
    <w:p/>
    <w:p/>
    <w:p/>
    <w:p/>
    <w:p/>
    <w:p/>
    <w:p/>
    <w:p/>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28305"/>
      <w:bookmarkStart w:id="49" w:name="_Toc30894"/>
      <w:bookmarkStart w:id="50" w:name="_Toc3580"/>
      <w:r>
        <w:rPr>
          <w:rFonts w:hint="eastAsia" w:ascii="宋体" w:hAnsi="宋体"/>
          <w:b/>
          <w:sz w:val="44"/>
          <w:szCs w:val="44"/>
        </w:rPr>
        <w:t>新阳</w:t>
      </w:r>
      <w:r>
        <w:rPr>
          <w:rFonts w:hint="eastAsia" w:ascii="宋体" w:hAnsi="宋体"/>
          <w:b/>
          <w:sz w:val="44"/>
          <w:szCs w:val="44"/>
          <w:lang w:val="en-US" w:eastAsia="zh-CN"/>
        </w:rPr>
        <w:t>事业部</w:t>
      </w:r>
      <w:r>
        <w:rPr>
          <w:rFonts w:hint="eastAsia" w:ascii="宋体" w:hAnsi="宋体"/>
          <w:b/>
          <w:sz w:val="44"/>
          <w:szCs w:val="44"/>
        </w:rPr>
        <w:t>氨水采购项目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5-02</w:t>
      </w:r>
    </w:p>
    <w:p>
      <w:pPr>
        <w:spacing w:line="360" w:lineRule="auto"/>
        <w:rPr>
          <w:rFonts w:ascii="宋体" w:hAnsi="宋体"/>
          <w:b/>
          <w:sz w:val="36"/>
        </w:rPr>
      </w:pP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7454"/>
      <w:bookmarkStart w:id="52" w:name="_Toc31210"/>
      <w:bookmarkStart w:id="53" w:name="_Toc26010"/>
      <w:bookmarkStart w:id="54" w:name="_Toc10610"/>
      <w:bookmarkStart w:id="55"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8416"/>
      <w:bookmarkStart w:id="58" w:name="_Toc26421"/>
      <w:bookmarkStart w:id="59" w:name="_Toc2110"/>
      <w:bookmarkStart w:id="60" w:name="_Toc22504"/>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hint="eastAsia" w:ascii="宋体" w:hAnsi="宋体"/>
          <w:b/>
          <w:bCs/>
          <w:sz w:val="28"/>
          <w:szCs w:val="28"/>
        </w:rPr>
      </w:pPr>
      <w:bookmarkStart w:id="61" w:name="_Toc24026"/>
      <w:bookmarkStart w:id="62" w:name="_Toc14233"/>
      <w:bookmarkStart w:id="63" w:name="_Toc19182"/>
      <w:bookmarkStart w:id="64" w:name="_Toc7425"/>
      <w:bookmarkStart w:id="65" w:name="_Toc7142"/>
      <w:r>
        <w:rPr>
          <w:rFonts w:hint="eastAsia" w:ascii="宋体" w:hAnsi="宋体"/>
          <w:b/>
          <w:bCs/>
          <w:sz w:val="28"/>
          <w:szCs w:val="28"/>
        </w:rPr>
        <w:t>报价日期：202</w:t>
      </w:r>
      <w:r>
        <w:rPr>
          <w:rFonts w:hint="eastAsia" w:ascii="宋体" w:hAnsi="宋体"/>
          <w:b/>
          <w:bCs/>
          <w:sz w:val="28"/>
          <w:szCs w:val="28"/>
          <w:lang w:val="en-US" w:eastAsia="zh-CN"/>
        </w:rPr>
        <w:t>5</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33"/>
        <w:widowControl/>
        <w:numPr>
          <w:ilvl w:val="0"/>
          <w:numId w:val="12"/>
        </w:numPr>
        <w:shd w:val="clear" w:color="auto" w:fill="FFFFFF"/>
        <w:spacing w:line="480" w:lineRule="atLeast"/>
        <w:ind w:firstLineChars="0"/>
        <w:jc w:val="left"/>
        <w:rPr>
          <w:rFonts w:cs="宋体" w:asciiTheme="minorEastAsia" w:hAnsiTheme="minorEastAsia"/>
          <w:kern w:val="0"/>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r>
        <w:rPr>
          <w:rFonts w:ascii="宋体" w:hAnsi="宋体"/>
          <w:sz w:val="24"/>
          <w:szCs w:val="24"/>
        </w:rPr>
        <w:t>见附件</w:t>
      </w:r>
      <w:r>
        <w:rPr>
          <w:rFonts w:hint="eastAsia" w:ascii="宋体" w:hAnsi="宋体"/>
          <w:sz w:val="24"/>
          <w:szCs w:val="24"/>
        </w:rPr>
        <w:t>6）</w:t>
      </w:r>
      <w:r>
        <w:rPr>
          <w:rFonts w:ascii="宋体" w:hAnsi="宋体"/>
          <w:sz w:val="24"/>
          <w:szCs w:val="24"/>
        </w:rPr>
        <w:t>；</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pStyle w:val="25"/>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5"/>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5"/>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5"/>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w:t>
      </w:r>
      <w:r>
        <w:rPr>
          <w:rFonts w:hint="eastAsia" w:ascii="宋体" w:hAnsi="宋体" w:cs="宋体"/>
          <w:b/>
          <w:spacing w:val="-4"/>
          <w:sz w:val="24"/>
          <w:szCs w:val="24"/>
          <w:u w:val="single"/>
          <w:lang w:val="en-US" w:eastAsia="zh-CN"/>
        </w:rPr>
        <w:t>事业部</w:t>
      </w:r>
      <w:r>
        <w:rPr>
          <w:rFonts w:hint="eastAsia" w:ascii="宋体" w:hAnsi="宋体" w:cs="宋体"/>
          <w:b/>
          <w:spacing w:val="-4"/>
          <w:sz w:val="24"/>
          <w:szCs w:val="24"/>
          <w:u w:val="single"/>
        </w:rPr>
        <w:t>氨水</w:t>
      </w:r>
      <w:r>
        <w:rPr>
          <w:rFonts w:ascii="宋体" w:hAnsi="宋体" w:cs="宋体"/>
          <w:b/>
          <w:spacing w:val="-4"/>
          <w:sz w:val="24"/>
          <w:szCs w:val="24"/>
          <w:u w:val="single"/>
        </w:rPr>
        <w:t>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hint="eastAsia" w:ascii="宋体" w:hAnsi="宋体" w:eastAsiaTheme="minorEastAsia"/>
          <w:b/>
          <w:kern w:val="0"/>
          <w:sz w:val="36"/>
          <w:szCs w:val="36"/>
          <w:lang w:eastAsia="zh-CN"/>
        </w:rPr>
      </w:pPr>
      <w:r>
        <w:rPr>
          <w:rFonts w:hint="eastAsia" w:ascii="宋体" w:hAnsi="宋体"/>
          <w:b/>
          <w:kern w:val="0"/>
          <w:sz w:val="36"/>
          <w:szCs w:val="36"/>
          <w:lang w:val="en-US" w:eastAsia="zh-CN"/>
        </w:rPr>
        <w:t>询价</w:t>
      </w:r>
      <w:r>
        <w:rPr>
          <w:rFonts w:hint="eastAsia" w:ascii="宋体" w:hAnsi="宋体"/>
          <w:b/>
          <w:kern w:val="0"/>
          <w:sz w:val="36"/>
          <w:szCs w:val="36"/>
        </w:rPr>
        <w:t xml:space="preserve"> 报 价 书</w:t>
      </w:r>
      <w:r>
        <w:rPr>
          <w:rFonts w:hint="eastAsia" w:ascii="宋体" w:hAnsi="宋体"/>
          <w:b/>
          <w:kern w:val="0"/>
          <w:sz w:val="36"/>
          <w:szCs w:val="36"/>
          <w:lang w:val="en-US" w:eastAsia="zh-CN"/>
        </w:rPr>
        <w:t xml:space="preserve"> </w:t>
      </w:r>
    </w:p>
    <w:tbl>
      <w:tblPr>
        <w:tblStyle w:val="16"/>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708"/>
        <w:gridCol w:w="1485"/>
        <w:gridCol w:w="2040"/>
        <w:gridCol w:w="813"/>
        <w:gridCol w:w="930"/>
        <w:gridCol w:w="93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865" w:hRule="atLeast"/>
          <w:jc w:val="center"/>
        </w:trPr>
        <w:tc>
          <w:tcPr>
            <w:tcW w:w="2567"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1708"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485"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数量（吨）</w:t>
            </w:r>
          </w:p>
        </w:tc>
        <w:tc>
          <w:tcPr>
            <w:tcW w:w="2040"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含税合计金额（元）</w:t>
            </w:r>
          </w:p>
        </w:tc>
        <w:tc>
          <w:tcPr>
            <w:tcW w:w="1743" w:type="dxa"/>
            <w:gridSpan w:val="2"/>
            <w:vAlign w:val="center"/>
          </w:tcPr>
          <w:p>
            <w:pPr>
              <w:widowControl/>
              <w:spacing w:line="500" w:lineRule="exact"/>
              <w:jc w:val="center"/>
              <w:rPr>
                <w:rFonts w:hint="eastAsia" w:eastAsiaTheme="minorEastAsia"/>
                <w:color w:val="000000"/>
                <w:kern w:val="0"/>
                <w:sz w:val="24"/>
                <w:lang w:val="en-US" w:eastAsia="zh-CN"/>
              </w:rPr>
            </w:pPr>
            <w:r>
              <w:rPr>
                <w:rFonts w:hint="eastAsia"/>
                <w:color w:val="000000"/>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2567" w:type="dxa"/>
            <w:vAlign w:val="center"/>
          </w:tcPr>
          <w:p>
            <w:pPr>
              <w:pStyle w:val="31"/>
              <w:spacing w:line="276" w:lineRule="auto"/>
              <w:jc w:val="center"/>
              <w:rPr>
                <w:color w:val="000000"/>
                <w:sz w:val="28"/>
                <w:szCs w:val="28"/>
              </w:rPr>
            </w:pPr>
            <w:r>
              <w:rPr>
                <w:rFonts w:hint="eastAsia"/>
                <w:color w:val="000000"/>
                <w:sz w:val="28"/>
                <w:szCs w:val="28"/>
              </w:rPr>
              <w:t>氨水</w:t>
            </w:r>
          </w:p>
          <w:p>
            <w:pPr>
              <w:pStyle w:val="31"/>
              <w:spacing w:line="276" w:lineRule="auto"/>
              <w:jc w:val="center"/>
              <w:rPr>
                <w:color w:val="000000"/>
              </w:rPr>
            </w:pPr>
            <w:r>
              <w:rPr>
                <w:rFonts w:hint="eastAsia"/>
              </w:rPr>
              <w:t>（NH</w:t>
            </w:r>
            <w:r>
              <w:rPr>
                <w:rFonts w:hint="eastAsia"/>
                <w:vertAlign w:val="subscript"/>
              </w:rPr>
              <w:t>3</w:t>
            </w:r>
            <w:r>
              <w:rPr>
                <w:rFonts w:hint="eastAsia" w:asciiTheme="minorEastAsia" w:hAnsiTheme="minorEastAsia"/>
                <w:color w:val="000000" w:themeColor="text1"/>
                <w14:textFill>
                  <w14:solidFill>
                    <w14:schemeClr w14:val="tx1"/>
                  </w14:solidFill>
                </w14:textFill>
              </w:rPr>
              <w:t>浓度≥</w:t>
            </w:r>
            <w:r>
              <w:rPr>
                <w:rFonts w:asciiTheme="minorEastAsia" w:hAnsiTheme="minorEastAsia"/>
                <w:color w:val="000000" w:themeColor="text1"/>
                <w14:textFill>
                  <w14:solidFill>
                    <w14:schemeClr w14:val="tx1"/>
                  </w14:solidFill>
                </w14:textFill>
              </w:rPr>
              <w:t>2</w:t>
            </w:r>
            <w:r>
              <w:rPr>
                <w:rFonts w:hint="eastAsia" w:asciiTheme="minorEastAsia" w:hAnsiTheme="minorEastAsia"/>
                <w:color w:val="000000" w:themeColor="text1"/>
                <w14:textFill>
                  <w14:solidFill>
                    <w14:schemeClr w14:val="tx1"/>
                  </w14:solidFill>
                </w14:textFill>
              </w:rPr>
              <w:t>0%</w:t>
            </w:r>
            <w:r>
              <w:rPr>
                <w:rFonts w:asciiTheme="minorEastAsia" w:hAnsiTheme="minorEastAsia"/>
                <w:color w:val="000000" w:themeColor="text1"/>
                <w14:textFill>
                  <w14:solidFill>
                    <w14:schemeClr w14:val="tx1"/>
                  </w14:solidFill>
                </w14:textFill>
              </w:rPr>
              <w:t>）</w:t>
            </w:r>
          </w:p>
        </w:tc>
        <w:tc>
          <w:tcPr>
            <w:tcW w:w="1708" w:type="dxa"/>
            <w:vAlign w:val="center"/>
          </w:tcPr>
          <w:p>
            <w:pPr>
              <w:pStyle w:val="31"/>
              <w:jc w:val="center"/>
              <w:rPr>
                <w:color w:val="000000"/>
              </w:rPr>
            </w:pPr>
          </w:p>
        </w:tc>
        <w:tc>
          <w:tcPr>
            <w:tcW w:w="1485" w:type="dxa"/>
            <w:vAlign w:val="center"/>
          </w:tcPr>
          <w:p>
            <w:pPr>
              <w:pStyle w:val="31"/>
              <w:jc w:val="center"/>
              <w:rPr>
                <w:rFonts w:hint="default" w:eastAsia="宋体"/>
                <w:color w:val="000000"/>
                <w:lang w:val="en-US" w:eastAsia="zh-CN"/>
              </w:rPr>
            </w:pPr>
            <w:r>
              <w:rPr>
                <w:rFonts w:hint="eastAsia"/>
                <w:color w:val="000000"/>
                <w:lang w:val="en-US" w:eastAsia="zh-CN"/>
              </w:rPr>
              <w:t>120</w:t>
            </w:r>
          </w:p>
        </w:tc>
        <w:tc>
          <w:tcPr>
            <w:tcW w:w="2040" w:type="dxa"/>
            <w:vAlign w:val="center"/>
          </w:tcPr>
          <w:p>
            <w:pPr>
              <w:pStyle w:val="31"/>
              <w:jc w:val="center"/>
              <w:rPr>
                <w:color w:val="000000"/>
              </w:rPr>
            </w:pPr>
          </w:p>
        </w:tc>
        <w:tc>
          <w:tcPr>
            <w:tcW w:w="1743" w:type="dxa"/>
            <w:gridSpan w:val="2"/>
            <w:vAlign w:val="center"/>
          </w:tcPr>
          <w:p>
            <w:pPr>
              <w:pStyle w:val="31"/>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9543" w:type="dxa"/>
            <w:gridSpan w:val="6"/>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lang w:eastAsia="zh-CN"/>
              </w:rPr>
              <w:t>询价</w:t>
            </w:r>
            <w:r>
              <w:rPr>
                <w:rFonts w:hint="eastAsia" w:ascii="宋体" w:hAnsi="宋体" w:cs="宋体"/>
                <w:color w:val="000000"/>
                <w:kern w:val="0"/>
                <w:sz w:val="24"/>
                <w:szCs w:val="24"/>
              </w:rPr>
              <w:t>保证金为人民币</w:t>
            </w:r>
            <w:r>
              <w:rPr>
                <w:rFonts w:hint="eastAsia" w:ascii="宋体" w:hAnsi="宋体" w:cs="宋体"/>
                <w:color w:val="000000"/>
                <w:kern w:val="0"/>
                <w:sz w:val="24"/>
                <w:szCs w:val="24"/>
                <w:lang w:val="en-US" w:eastAsia="zh-CN"/>
              </w:rPr>
              <w:t>伍仟</w:t>
            </w:r>
            <w:r>
              <w:rPr>
                <w:rFonts w:hint="eastAsia" w:ascii="宋体" w:hAnsi="宋体" w:cs="宋体"/>
                <w:color w:val="000000"/>
                <w:kern w:val="0"/>
                <w:sz w:val="24"/>
                <w:szCs w:val="24"/>
              </w:rPr>
              <w:t>元整</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000.00）。</w:t>
            </w:r>
          </w:p>
          <w:p>
            <w:pPr>
              <w:pStyle w:val="31"/>
              <w:rPr>
                <w:color w:val="000000"/>
              </w:rPr>
            </w:pPr>
            <w:r>
              <w:rPr>
                <w:color w:val="000000"/>
              </w:rPr>
              <w:t>2</w:t>
            </w:r>
            <w:r>
              <w:rPr>
                <w:rFonts w:hint="eastAsia"/>
                <w:color w:val="000000"/>
              </w:rPr>
              <w:t>、若国家税率调整，含税价格须作相应调整。</w:t>
            </w:r>
          </w:p>
          <w:p>
            <w:pPr>
              <w:pStyle w:val="31"/>
              <w:rPr>
                <w:rFonts w:hint="eastAsia"/>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8613" w:type="dxa"/>
          <w:trHeight w:val="100" w:hRule="atLeast"/>
          <w:jc w:val="center"/>
        </w:trPr>
        <w:tc>
          <w:tcPr>
            <w:tcW w:w="930" w:type="dxa"/>
          </w:tcPr>
          <w:p>
            <w:pPr>
              <w:widowControl/>
              <w:spacing w:line="500" w:lineRule="exact"/>
              <w:rPr>
                <w:rFonts w:ascii="宋体" w:hAnsi="宋体"/>
                <w:color w:val="000000"/>
                <w:kern w:val="0"/>
                <w:sz w:val="28"/>
                <w:szCs w:val="28"/>
              </w:rPr>
            </w:pPr>
          </w:p>
        </w:tc>
        <w:tc>
          <w:tcPr>
            <w:tcW w:w="93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w:t>
      </w:r>
      <w:r>
        <w:rPr>
          <w:rFonts w:hint="eastAsia" w:ascii="宋体" w:hAnsi="宋体" w:eastAsia="宋体" w:cs="Times New Roman"/>
          <w:bCs/>
          <w:color w:val="000000"/>
          <w:sz w:val="28"/>
          <w:szCs w:val="28"/>
          <w:u w:val="single"/>
          <w:lang w:val="en-US" w:eastAsia="zh-CN"/>
        </w:rPr>
        <w:t>事业部</w:t>
      </w:r>
      <w:r>
        <w:rPr>
          <w:rFonts w:hint="eastAsia" w:ascii="宋体" w:hAnsi="宋体" w:eastAsia="宋体" w:cs="Times New Roman"/>
          <w:bCs/>
          <w:color w:val="000000"/>
          <w:sz w:val="28"/>
          <w:szCs w:val="28"/>
          <w:u w:val="single"/>
        </w:rPr>
        <w:t>氨水</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5</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5"/>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5"/>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5"/>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5"/>
        <w:keepNext w:val="0"/>
        <w:keepLines w:val="0"/>
        <w:kinsoku w:val="0"/>
        <w:overflowPunct w:val="0"/>
        <w:snapToGrid w:val="0"/>
        <w:spacing w:before="0" w:after="0" w:line="240" w:lineRule="auto"/>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w:t>
      </w:r>
      <w:r>
        <w:rPr>
          <w:rFonts w:ascii="宋体" w:hAnsi="宋体" w:cs="宋体"/>
          <w:kern w:val="0"/>
          <w:sz w:val="28"/>
          <w:szCs w:val="28"/>
        </w:rPr>
        <w:t>许可证</w:t>
      </w:r>
      <w:r>
        <w:rPr>
          <w:rFonts w:hint="eastAsia" w:ascii="宋体" w:hAnsi="宋体"/>
          <w:sz w:val="28"/>
          <w:szCs w:val="28"/>
        </w:rPr>
        <w:t>复印件加盖报价</w:t>
      </w:r>
      <w:r>
        <w:rPr>
          <w:rFonts w:ascii="宋体" w:hAnsi="宋体"/>
          <w:sz w:val="28"/>
          <w:szCs w:val="28"/>
        </w:rPr>
        <w:t>单位</w:t>
      </w:r>
      <w:r>
        <w:rPr>
          <w:rFonts w:hint="eastAsia" w:ascii="宋体" w:hAnsi="宋体"/>
          <w:sz w:val="28"/>
          <w:szCs w:val="28"/>
        </w:rPr>
        <w:t>公章</w:t>
      </w:r>
      <w:r>
        <w:rPr>
          <w:rFonts w:hint="eastAsia" w:ascii="宋体" w:hAnsi="宋体"/>
          <w:sz w:val="24"/>
          <w:szCs w:val="24"/>
        </w:rPr>
        <w:t>。</w:t>
      </w: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pPr>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10"/>
  </w:num>
  <w:num w:numId="6">
    <w:abstractNumId w:val="6"/>
  </w:num>
  <w:num w:numId="7">
    <w:abstractNumId w:val="1"/>
  </w:num>
  <w:num w:numId="8">
    <w:abstractNumId w:val="8"/>
  </w:num>
  <w:num w:numId="9">
    <w:abstractNumId w:val="11"/>
  </w:num>
  <w:num w:numId="10">
    <w:abstractNumId w:val="7"/>
  </w:num>
  <w:num w:numId="11">
    <w:abstractNumId w:val="9"/>
  </w:num>
  <w:num w:numId="12">
    <w:abstractNumId w:val="2"/>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2a41445d-8cd3-4104-8917-3ebe54850e98"/>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02565F79"/>
    <w:rsid w:val="07CC768F"/>
    <w:rsid w:val="09033043"/>
    <w:rsid w:val="0AF33383"/>
    <w:rsid w:val="0BC17D69"/>
    <w:rsid w:val="13280347"/>
    <w:rsid w:val="21A677B1"/>
    <w:rsid w:val="22190869"/>
    <w:rsid w:val="24800A30"/>
    <w:rsid w:val="251A40A5"/>
    <w:rsid w:val="330620B9"/>
    <w:rsid w:val="3429249E"/>
    <w:rsid w:val="4F7A3F33"/>
    <w:rsid w:val="532F5645"/>
    <w:rsid w:val="5FA70F2F"/>
    <w:rsid w:val="6A357D45"/>
    <w:rsid w:val="6EE05B6F"/>
    <w:rsid w:val="717C5298"/>
    <w:rsid w:val="770D67CB"/>
    <w:rsid w:val="7B2D4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3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8"/>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99"/>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Body Text Indent 2"/>
    <w:basedOn w:val="1"/>
    <w:qFormat/>
    <w:uiPriority w:val="0"/>
    <w:pPr>
      <w:autoSpaceDE/>
      <w:autoSpaceDN/>
      <w:spacing w:line="360" w:lineRule="auto"/>
      <w:ind w:firstLine="425"/>
      <w:jc w:val="left"/>
    </w:pPr>
    <w:rPr>
      <w:sz w:val="24"/>
    </w:rPr>
  </w:style>
  <w:style w:type="paragraph" w:styleId="11">
    <w:name w:val="Balloon Text"/>
    <w:basedOn w:val="1"/>
    <w:link w:val="30"/>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26"/>
    <w:qFormat/>
    <w:uiPriority w:val="0"/>
    <w:pPr>
      <w:spacing w:before="240" w:after="60"/>
      <w:jc w:val="center"/>
      <w:outlineLvl w:val="0"/>
    </w:pPr>
    <w:rPr>
      <w:rFonts w:ascii="Cambria" w:hAnsi="Cambria" w:cs="Times New Roman"/>
      <w:b/>
      <w:bCs/>
      <w:sz w:val="32"/>
      <w:szCs w:val="32"/>
    </w:rPr>
  </w:style>
  <w:style w:type="paragraph" w:styleId="15">
    <w:name w:val="annotation subject"/>
    <w:basedOn w:val="5"/>
    <w:next w:val="5"/>
    <w:link w:val="29"/>
    <w:semiHidden/>
    <w:unhideWhenUsed/>
    <w:qFormat/>
    <w:uiPriority w:val="99"/>
    <w:rPr>
      <w:b/>
      <w:bCs/>
    </w:rPr>
  </w:style>
  <w:style w:type="table" w:styleId="17">
    <w:name w:val="Table Grid"/>
    <w:basedOn w:val="1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3"/>
    <w:qFormat/>
    <w:uiPriority w:val="99"/>
    <w:rPr>
      <w:sz w:val="18"/>
      <w:szCs w:val="18"/>
    </w:rPr>
  </w:style>
  <w:style w:type="character" w:customStyle="1" w:styleId="23">
    <w:name w:val="页脚 Char"/>
    <w:basedOn w:val="18"/>
    <w:link w:val="12"/>
    <w:qFormat/>
    <w:uiPriority w:val="99"/>
    <w:rPr>
      <w:sz w:val="18"/>
      <w:szCs w:val="18"/>
    </w:rPr>
  </w:style>
  <w:style w:type="character" w:customStyle="1" w:styleId="24">
    <w:name w:val="标题 2 Char"/>
    <w:basedOn w:val="18"/>
    <w:link w:val="2"/>
    <w:qFormat/>
    <w:uiPriority w:val="0"/>
    <w:rPr>
      <w:rFonts w:ascii="Arial" w:hAnsi="Arial" w:eastAsia="黑体" w:cs="Times New Roman"/>
      <w:b/>
      <w:spacing w:val="10"/>
      <w:kern w:val="0"/>
      <w:sz w:val="32"/>
      <w:szCs w:val="20"/>
    </w:rPr>
  </w:style>
  <w:style w:type="paragraph" w:customStyle="1" w:styleId="25">
    <w:name w:val="标题 2 居中"/>
    <w:basedOn w:val="2"/>
    <w:qFormat/>
    <w:uiPriority w:val="0"/>
    <w:pPr>
      <w:jc w:val="center"/>
    </w:pPr>
    <w:rPr>
      <w:rFonts w:ascii="宋体" w:hAnsi="宋体"/>
    </w:rPr>
  </w:style>
  <w:style w:type="character" w:customStyle="1" w:styleId="26">
    <w:name w:val="标题 Char"/>
    <w:link w:val="14"/>
    <w:qFormat/>
    <w:uiPriority w:val="0"/>
    <w:rPr>
      <w:rFonts w:ascii="Cambria" w:hAnsi="Cambria" w:cs="Times New Roman"/>
      <w:b/>
      <w:bCs/>
      <w:sz w:val="32"/>
      <w:szCs w:val="32"/>
    </w:rPr>
  </w:style>
  <w:style w:type="character" w:customStyle="1" w:styleId="27">
    <w:name w:val="标题 Char1"/>
    <w:basedOn w:val="18"/>
    <w:qFormat/>
    <w:uiPriority w:val="10"/>
    <w:rPr>
      <w:rFonts w:eastAsia="宋体" w:asciiTheme="majorHAnsi" w:hAnsiTheme="majorHAnsi" w:cstheme="majorBidi"/>
      <w:b/>
      <w:bCs/>
      <w:sz w:val="32"/>
      <w:szCs w:val="32"/>
    </w:rPr>
  </w:style>
  <w:style w:type="character" w:customStyle="1" w:styleId="28">
    <w:name w:val="批注文字 Char"/>
    <w:basedOn w:val="18"/>
    <w:link w:val="5"/>
    <w:semiHidden/>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18"/>
    <w:link w:val="11"/>
    <w:semiHidden/>
    <w:qFormat/>
    <w:uiPriority w:val="99"/>
    <w:rPr>
      <w:sz w:val="18"/>
      <w:szCs w:val="18"/>
    </w:rPr>
  </w:style>
  <w:style w:type="paragraph" w:customStyle="1" w:styleId="31">
    <w:name w:val="p0"/>
    <w:basedOn w:val="1"/>
    <w:qFormat/>
    <w:uiPriority w:val="0"/>
    <w:pPr>
      <w:widowControl/>
      <w:jc w:val="left"/>
    </w:pPr>
    <w:rPr>
      <w:rFonts w:ascii="宋体" w:hAnsi="宋体" w:eastAsia="宋体" w:cs="宋体"/>
      <w:kern w:val="0"/>
      <w:sz w:val="24"/>
      <w:szCs w:val="24"/>
    </w:rPr>
  </w:style>
  <w:style w:type="character" w:customStyle="1" w:styleId="32">
    <w:name w:val="标题 3 Char"/>
    <w:basedOn w:val="18"/>
    <w:link w:val="3"/>
    <w:qFormat/>
    <w:uiPriority w:val="0"/>
    <w:rPr>
      <w:rFonts w:ascii="Times New Roman" w:hAnsi="Times New Roman" w:eastAsia="宋体" w:cs="Times New Roman"/>
      <w:b/>
      <w:bCs/>
      <w:sz w:val="32"/>
      <w:szCs w:val="32"/>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6ED6-9826-4E29-8C90-F3944C202014}">
  <ds:schemaRefs/>
</ds:datastoreItem>
</file>

<file path=docProps/app.xml><?xml version="1.0" encoding="utf-8"?>
<Properties xmlns="http://schemas.openxmlformats.org/officeDocument/2006/extended-properties" xmlns:vt="http://schemas.openxmlformats.org/officeDocument/2006/docPropsVTypes">
  <Template>Normal</Template>
  <Pages>19</Pages>
  <Words>7104</Words>
  <Characters>7648</Characters>
  <Lines>51</Lines>
  <Paragraphs>14</Paragraphs>
  <TotalTime>3</TotalTime>
  <ScaleCrop>false</ScaleCrop>
  <LinksUpToDate>false</LinksUpToDate>
  <CharactersWithSpaces>7804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陈焰</dc:creator>
  <cp:lastModifiedBy>Happy</cp:lastModifiedBy>
  <cp:lastPrinted>2024-03-22T01:01:00Z</cp:lastPrinted>
  <dcterms:modified xsi:type="dcterms:W3CDTF">2025-03-06T03:17:24Z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C4784C76C51D4F1E9958F9675208430E_13</vt:lpwstr>
  </property>
  <property fmtid="{D5CDD505-2E9C-101B-9397-08002B2CF9AE}" pid="4" name="KSOTemplateDocerSaveRecord">
    <vt:lpwstr>eyJoZGlkIjoiZWJmNmRkZTU4MWY2OTJhN2UwMmEzYzJlMDU4NGQyY2YiLCJ1c2VySWQiOiIxMTMxOTc3MDA4In0=</vt:lpwstr>
  </property>
</Properties>
</file>