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b/>
          <w:sz w:val="36"/>
          <w:szCs w:val="36"/>
        </w:rPr>
      </w:pPr>
    </w:p>
    <w:p>
      <w:pPr>
        <w:jc w:val="center"/>
        <w:rPr>
          <w:b/>
          <w:sz w:val="36"/>
          <w:szCs w:val="36"/>
        </w:rPr>
      </w:pPr>
    </w:p>
    <w:p>
      <w:pPr>
        <w:jc w:val="center"/>
        <w:rPr>
          <w:sz w:val="36"/>
          <w:szCs w:val="36"/>
        </w:rPr>
      </w:pPr>
      <w:r>
        <w:rPr>
          <w:rFonts w:hint="eastAsia"/>
          <w:b/>
          <w:sz w:val="36"/>
          <w:szCs w:val="36"/>
        </w:rPr>
        <w:t>同集事业部无烟煤采购</w:t>
      </w:r>
      <w:r>
        <w:rPr>
          <w:rFonts w:hint="eastAsia"/>
          <w:sz w:val="36"/>
          <w:szCs w:val="36"/>
        </w:rPr>
        <w:t xml:space="preserve"> </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sz w:val="52"/>
          <w:szCs w:val="52"/>
        </w:rPr>
      </w:pPr>
    </w:p>
    <w:p>
      <w:pPr>
        <w:jc w:val="center"/>
        <w:rPr>
          <w:sz w:val="36"/>
          <w:szCs w:val="36"/>
        </w:rPr>
      </w:pPr>
      <w:r>
        <w:rPr>
          <w:rFonts w:hint="eastAsia"/>
          <w:sz w:val="36"/>
          <w:szCs w:val="36"/>
        </w:rPr>
        <w:t>项目</w:t>
      </w:r>
      <w:r>
        <w:rPr>
          <w:sz w:val="36"/>
          <w:szCs w:val="36"/>
        </w:rPr>
        <w:t>编号</w:t>
      </w:r>
      <w:r>
        <w:rPr>
          <w:rFonts w:hint="eastAsia"/>
          <w:sz w:val="36"/>
          <w:szCs w:val="36"/>
        </w:rPr>
        <w:t>：H</w:t>
      </w:r>
      <w:r>
        <w:rPr>
          <w:sz w:val="36"/>
          <w:szCs w:val="36"/>
        </w:rPr>
        <w:t>FHB-W202</w:t>
      </w:r>
      <w:r>
        <w:rPr>
          <w:rFonts w:hint="eastAsia"/>
          <w:sz w:val="36"/>
          <w:szCs w:val="36"/>
        </w:rPr>
        <w:t>5</w:t>
      </w:r>
      <w:r>
        <w:rPr>
          <w:sz w:val="36"/>
          <w:szCs w:val="36"/>
        </w:rPr>
        <w:t>-</w:t>
      </w:r>
      <w:r>
        <w:rPr>
          <w:rFonts w:hint="eastAsia"/>
          <w:sz w:val="36"/>
          <w:szCs w:val="36"/>
        </w:rPr>
        <w:t>06</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w:t>
      </w:r>
      <w:r>
        <w:rPr>
          <w:rFonts w:hint="eastAsia"/>
          <w:sz w:val="36"/>
          <w:szCs w:val="36"/>
        </w:rPr>
        <w:t>25年06月</w:t>
      </w: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同集热电</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生产需求，现进行煤炭（无</w:t>
      </w:r>
      <w:r>
        <w:rPr>
          <w:rFonts w:ascii="宋体" w:hAnsi="宋体" w:eastAsia="宋体" w:cs="宋体"/>
          <w:kern w:val="0"/>
          <w:sz w:val="24"/>
          <w:szCs w:val="24"/>
        </w:rPr>
        <w:t>烟煤）</w:t>
      </w:r>
      <w:r>
        <w:rPr>
          <w:rFonts w:hint="eastAsia" w:ascii="宋体" w:hAnsi="宋体" w:eastAsia="宋体" w:cs="宋体"/>
          <w:kern w:val="0"/>
          <w:sz w:val="24"/>
          <w:szCs w:val="24"/>
        </w:rPr>
        <w:t>竞争性谈判采购，希望具备长期供应能力的供应商，按照有关采购规定和我司的要求，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kern w:val="0"/>
          <w:sz w:val="24"/>
          <w:szCs w:val="24"/>
        </w:rPr>
        <w:t>同集事业部无烟煤</w:t>
      </w:r>
      <w:r>
        <w:rPr>
          <w:rFonts w:ascii="宋体" w:hAnsi="宋体" w:eastAsia="宋体" w:cs="宋体"/>
          <w:kern w:val="0"/>
          <w:sz w:val="24"/>
          <w:szCs w:val="24"/>
        </w:rPr>
        <w:t>采购</w:t>
      </w:r>
    </w:p>
    <w:p>
      <w:pPr>
        <w:spacing w:line="276" w:lineRule="auto"/>
        <w:jc w:val="left"/>
        <w:rPr>
          <w:rFonts w:ascii="宋体" w:hAnsi="宋体" w:eastAsia="宋体" w:cs="Times New Roman"/>
          <w:b/>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eastAsia="宋体"/>
          <w:b/>
          <w:bCs/>
          <w:sz w:val="24"/>
          <w:szCs w:val="24"/>
        </w:rPr>
        <w:t>厦门</w:t>
      </w:r>
      <w:r>
        <w:rPr>
          <w:rFonts w:ascii="宋体" w:hAnsi="宋体" w:eastAsia="宋体"/>
          <w:b/>
          <w:bCs/>
          <w:sz w:val="24"/>
          <w:szCs w:val="24"/>
        </w:rPr>
        <w:t>市</w:t>
      </w:r>
      <w:r>
        <w:rPr>
          <w:rFonts w:hint="eastAsia" w:ascii="宋体" w:hAnsi="宋体" w:eastAsia="宋体" w:cs="Times New Roman"/>
          <w:b/>
          <w:sz w:val="24"/>
          <w:szCs w:val="24"/>
        </w:rPr>
        <w:t>同安区美禾三路399号</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sz w:val="24"/>
          <w:szCs w:val="24"/>
        </w:rPr>
      </w:pPr>
      <w:r>
        <w:rPr>
          <w:rFonts w:hint="eastAsia" w:ascii="宋体" w:hAnsi="宋体" w:eastAsia="宋体"/>
          <w:bCs/>
          <w:sz w:val="24"/>
          <w:szCs w:val="24"/>
        </w:rPr>
        <w:t xml:space="preserve"> </w:t>
      </w:r>
      <w:r>
        <w:rPr>
          <w:rFonts w:hint="eastAsia" w:ascii="宋体" w:hAnsi="宋体" w:eastAsia="宋体"/>
          <w:sz w:val="24"/>
          <w:szCs w:val="24"/>
        </w:rPr>
        <w:t>3投标保证金及缴款注意事项</w:t>
      </w:r>
    </w:p>
    <w:p>
      <w:pPr>
        <w:tabs>
          <w:tab w:val="left" w:pos="0"/>
        </w:tabs>
        <w:kinsoku w:val="0"/>
        <w:overflowPunct w:val="0"/>
        <w:adjustRightInd w:val="0"/>
        <w:snapToGrid w:val="0"/>
        <w:spacing w:line="276" w:lineRule="auto"/>
        <w:jc w:val="left"/>
        <w:rPr>
          <w:rFonts w:ascii="宋体" w:hAnsi="宋体" w:eastAsia="宋体"/>
          <w:sz w:val="24"/>
          <w:szCs w:val="24"/>
        </w:rPr>
      </w:pPr>
      <w:r>
        <w:rPr>
          <w:rFonts w:hint="eastAsia" w:ascii="宋体" w:hAnsi="宋体" w:eastAsia="宋体"/>
          <w:sz w:val="24"/>
          <w:szCs w:val="24"/>
        </w:rPr>
        <w:t>*3.1报价方递交报价文件前须缴足谈判保证金人民币壹万元整（¥ 10000.00），未按规定提交谈判保证金的报价文件，属无效报价文件，将不予开标。</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sz w:val="24"/>
          <w:szCs w:val="24"/>
        </w:rPr>
        <w:t>3.2第一成交候选供应商谈判保证金将自动转为合同履约金；若第一成交候选供应商拒不履行签订合同，我司将不予退还该保</w:t>
      </w:r>
      <w:r>
        <w:rPr>
          <w:rFonts w:hint="eastAsia" w:ascii="宋体" w:hAnsi="宋体" w:eastAsia="宋体" w:cs="宋体"/>
          <w:kern w:val="0"/>
          <w:sz w:val="24"/>
          <w:szCs w:val="24"/>
        </w:rPr>
        <w:t>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除出现不予退还谈判保证金情形及成交供应商外的报价方谈判保证金</w:t>
      </w:r>
      <w:r>
        <w:rPr>
          <w:rFonts w:hint="eastAsia" w:ascii="宋体" w:hAnsi="宋体" w:eastAsia="宋体" w:cs="宋体"/>
          <w:kern w:val="0"/>
          <w:sz w:val="24"/>
          <w:szCs w:val="24"/>
        </w:rPr>
        <w:t>，我司将在项目成交公告发布后</w:t>
      </w:r>
      <w:r>
        <w:rPr>
          <w:rFonts w:ascii="宋体" w:hAnsi="宋体" w:eastAsia="宋体" w:cs="宋体"/>
          <w:kern w:val="0"/>
          <w:sz w:val="24"/>
          <w:szCs w:val="24"/>
        </w:rPr>
        <w:t>10</w:t>
      </w:r>
      <w:r>
        <w:rPr>
          <w:rFonts w:hint="eastAsia" w:ascii="宋体" w:hAnsi="宋体" w:eastAsia="宋体" w:cs="宋体"/>
          <w:kern w:val="0"/>
          <w:sz w:val="24"/>
          <w:szCs w:val="24"/>
        </w:rPr>
        <w:t>个工作日内无息退还该保证金。</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3.3</w:t>
      </w:r>
      <w:r>
        <w:rPr>
          <w:rFonts w:hint="eastAsia" w:ascii="宋体" w:hAnsi="宋体" w:cs="宋体"/>
          <w:b/>
          <w:sz w:val="24"/>
          <w:szCs w:val="24"/>
        </w:rPr>
        <w:t>特别说明：</w:t>
      </w:r>
      <w:r>
        <w:rPr>
          <w:rFonts w:hint="eastAsia" w:ascii="宋体" w:hAnsi="宋体"/>
          <w:sz w:val="24"/>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同集事业部无</w:t>
      </w:r>
      <w:r>
        <w:rPr>
          <w:rFonts w:ascii="宋体" w:hAnsi="宋体" w:eastAsia="宋体" w:cs="宋体"/>
          <w:b/>
          <w:kern w:val="0"/>
          <w:sz w:val="24"/>
          <w:szCs w:val="24"/>
        </w:rPr>
        <w:t>烟煤</w:t>
      </w:r>
      <w:r>
        <w:rPr>
          <w:rFonts w:hint="eastAsia" w:ascii="宋体" w:hAnsi="宋体" w:eastAsia="宋体" w:cs="宋体"/>
          <w:b/>
          <w:kern w:val="0"/>
          <w:sz w:val="24"/>
          <w:szCs w:val="24"/>
        </w:rPr>
        <w:t>采购谈判保证金</w:t>
      </w:r>
      <w:r>
        <w:rPr>
          <w:rFonts w:hint="eastAsia" w:ascii="宋体" w:hAnsi="宋体" w:eastAsia="宋体" w:cs="宋体"/>
          <w:kern w:val="0"/>
          <w:sz w:val="24"/>
          <w:szCs w:val="24"/>
        </w:rPr>
        <w:t>”字样。</w:t>
      </w:r>
    </w:p>
    <w:p>
      <w:pPr>
        <w:widowControl/>
        <w:spacing w:line="276" w:lineRule="auto"/>
        <w:rPr>
          <w:rFonts w:ascii="宋体" w:hAnsi="宋体" w:eastAsia="宋体" w:cs="宋体"/>
          <w:kern w:val="0"/>
          <w:sz w:val="24"/>
          <w:szCs w:val="24"/>
        </w:rPr>
      </w:pPr>
      <w:r>
        <w:rPr>
          <w:rFonts w:ascii="宋体" w:hAnsi="宋体" w:eastAsia="宋体" w:cs="宋体"/>
          <w:kern w:val="0"/>
          <w:sz w:val="24"/>
          <w:szCs w:val="24"/>
        </w:rPr>
        <w:t>3.5</w:t>
      </w:r>
      <w:r>
        <w:rPr>
          <w:rFonts w:hint="eastAsia" w:ascii="宋体" w:hAnsi="宋体" w:eastAsia="宋体" w:cs="宋体"/>
          <w:kern w:val="0"/>
          <w:sz w:val="24"/>
          <w:szCs w:val="24"/>
        </w:rPr>
        <w:t>谈判保证金收款单位：厦门海发环保能源股份有限公司</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账号：40373001040009422   开户行：</w:t>
      </w:r>
      <w:r>
        <w:rPr>
          <w:rFonts w:hint="eastAsia" w:ascii="宋体" w:hAnsi="宋体" w:eastAsia="宋体" w:cs="宋体"/>
          <w:b/>
          <w:kern w:val="0"/>
          <w:sz w:val="24"/>
          <w:szCs w:val="24"/>
        </w:rPr>
        <w:t>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2025年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03</w:t>
      </w:r>
      <w:r>
        <w:rPr>
          <w:rFonts w:hint="eastAsia" w:ascii="宋体" w:hAnsi="宋体" w:eastAsia="宋体"/>
          <w:b/>
          <w:bCs/>
          <w:sz w:val="24"/>
          <w:szCs w:val="24"/>
        </w:rPr>
        <w:t xml:space="preserve"> 日10:</w:t>
      </w:r>
      <w:r>
        <w:rPr>
          <w:rFonts w:ascii="宋体" w:hAnsi="宋体" w:eastAsia="宋体"/>
          <w:b/>
          <w:bCs/>
          <w:sz w:val="24"/>
          <w:szCs w:val="24"/>
        </w:rPr>
        <w:t>00</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hd w:val="clear" w:color="auto" w:fill="FFFFFF"/>
        <w:spacing w:line="360" w:lineRule="auto"/>
        <w:jc w:val="left"/>
        <w:rPr>
          <w:rFonts w:ascii="宋体" w:hAnsi="宋体" w:eastAsia="宋体" w:cs="宋体"/>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cs="宋体"/>
          <w:b/>
          <w:bCs/>
          <w:sz w:val="24"/>
          <w:szCs w:val="24"/>
        </w:rPr>
        <w:t>报</w:t>
      </w:r>
      <w:r>
        <w:rPr>
          <w:rFonts w:hint="eastAsia" w:ascii="宋体" w:hAnsi="宋体" w:cs="宋体"/>
          <w:b/>
          <w:sz w:val="24"/>
          <w:szCs w:val="24"/>
        </w:rPr>
        <w:t>价文件需逐页加盖单位公章，所有报价文件装入密封袋，</w:t>
      </w:r>
      <w:r>
        <w:rPr>
          <w:rFonts w:hint="eastAsia" w:ascii="宋体" w:hAnsi="宋体" w:eastAsia="宋体" w:cs="宋体"/>
          <w:b/>
          <w:sz w:val="24"/>
          <w:szCs w:val="24"/>
        </w:rPr>
        <w:t>在</w:t>
      </w:r>
      <w:r>
        <w:rPr>
          <w:rFonts w:hint="eastAsia" w:ascii="宋体" w:hAnsi="宋体"/>
          <w:b/>
          <w:sz w:val="24"/>
        </w:rPr>
        <w:t xml:space="preserve">每一密封处注明“于  </w:t>
      </w:r>
      <w:r>
        <w:rPr>
          <w:rFonts w:hint="eastAsia" w:ascii="宋体" w:hAnsi="宋体"/>
          <w:b/>
          <w:sz w:val="24"/>
          <w:u w:val="single"/>
        </w:rPr>
        <w:t xml:space="preserve">     </w:t>
      </w:r>
      <w:r>
        <w:rPr>
          <w:rFonts w:hint="eastAsia" w:ascii="宋体" w:hAnsi="宋体"/>
          <w:b/>
          <w:sz w:val="24"/>
        </w:rPr>
        <w:t>之前（指谈判邀请中规定的谈判截止日期及时间）不准启封”的字样，并加盖报价单位公章；</w:t>
      </w:r>
      <w:r>
        <w:rPr>
          <w:rFonts w:hint="eastAsia" w:ascii="宋体" w:hAnsi="宋体" w:cs="宋体"/>
          <w:b/>
          <w:sz w:val="24"/>
          <w:szCs w:val="24"/>
        </w:rPr>
        <w:t>并在密封袋封面上正确标明报价项目名称、单位名称、联系人及联系电话，同时加盖公章，否则视为无效标。</w:t>
      </w:r>
    </w:p>
    <w:p>
      <w:pPr>
        <w:widowControl/>
        <w:spacing w:line="276" w:lineRule="auto"/>
        <w:jc w:val="left"/>
        <w:rPr>
          <w:rFonts w:ascii="宋体" w:hAnsi="宋体" w:eastAsia="宋体" w:cs="Times New Roman"/>
          <w:sz w:val="24"/>
          <w:szCs w:val="24"/>
        </w:rPr>
      </w:pPr>
      <w:r>
        <w:rPr>
          <w:rFonts w:ascii="宋体" w:hAnsi="宋体" w:eastAsia="宋体"/>
          <w:sz w:val="24"/>
          <w:szCs w:val="24"/>
        </w:rPr>
        <w:t>4.2</w:t>
      </w:r>
      <w:r>
        <w:rPr>
          <w:rFonts w:hint="eastAsia" w:ascii="宋体" w:hAnsi="宋体" w:eastAsia="宋体"/>
          <w:bCs/>
          <w:sz w:val="24"/>
          <w:szCs w:val="24"/>
        </w:rPr>
        <w:t>报价文件以寄件形式送达，</w:t>
      </w:r>
      <w:r>
        <w:rPr>
          <w:rFonts w:ascii="宋体" w:hAnsi="宋体" w:eastAsia="宋体"/>
          <w:bCs/>
          <w:sz w:val="24"/>
          <w:szCs w:val="24"/>
        </w:rPr>
        <w:t>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邀请报价方现场参与谈判。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b/>
          <w:bCs/>
          <w:kern w:val="0"/>
          <w:sz w:val="24"/>
          <w:szCs w:val="24"/>
        </w:rPr>
        <w:t>密封提供报价文件（有加盖公章的）扫描件，可以光盘或U盘提供。</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2025年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03</w:t>
      </w:r>
      <w:r>
        <w:rPr>
          <w:rFonts w:hint="eastAsia" w:ascii="宋体" w:hAnsi="宋体" w:eastAsia="宋体"/>
          <w:b/>
          <w:bCs/>
          <w:sz w:val="24"/>
          <w:szCs w:val="24"/>
        </w:rPr>
        <w:t>日10:</w:t>
      </w:r>
      <w:r>
        <w:rPr>
          <w:rFonts w:ascii="宋体" w:hAnsi="宋体" w:eastAsia="宋体"/>
          <w:b/>
          <w:bCs/>
          <w:sz w:val="24"/>
          <w:szCs w:val="24"/>
        </w:rPr>
        <w:t>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pStyle w:val="2"/>
        <w:keepNext w:val="0"/>
        <w:keepLines w:val="0"/>
        <w:tabs>
          <w:tab w:val="left" w:pos="0"/>
        </w:tabs>
        <w:kinsoku w:val="0"/>
        <w:overflowPunct w:val="0"/>
        <w:autoSpaceDE w:val="0"/>
        <w:autoSpaceDN w:val="0"/>
        <w:adjustRightInd/>
        <w:spacing w:before="0" w:after="0" w:line="360" w:lineRule="auto"/>
        <w:jc w:val="both"/>
        <w:textAlignment w:val="auto"/>
        <w:rPr>
          <w:rFonts w:ascii="宋体" w:hAnsi="宋体" w:eastAsia="宋体" w:cs="宋体"/>
          <w:b w:val="0"/>
          <w:bCs/>
          <w:sz w:val="24"/>
          <w:szCs w:val="24"/>
        </w:rPr>
      </w:pPr>
      <w:r>
        <w:rPr>
          <w:rFonts w:hint="eastAsia" w:ascii="宋体" w:hAnsi="宋体" w:eastAsia="宋体" w:cs="宋体"/>
          <w:b w:val="0"/>
          <w:bCs/>
          <w:sz w:val="24"/>
          <w:szCs w:val="24"/>
        </w:rPr>
        <w:t>6.1 采购方将于2025年</w:t>
      </w:r>
      <w:r>
        <w:rPr>
          <w:rFonts w:hint="eastAsia" w:ascii="宋体" w:hAnsi="宋体" w:eastAsia="宋体" w:cs="宋体"/>
          <w:b w:val="0"/>
          <w:bCs/>
          <w:sz w:val="24"/>
          <w:szCs w:val="24"/>
          <w:highlight w:val="yellow"/>
          <w:lang w:val="en-US" w:eastAsia="zh-CN"/>
        </w:rPr>
        <w:t>07</w:t>
      </w:r>
      <w:r>
        <w:rPr>
          <w:rFonts w:hint="eastAsia" w:ascii="宋体" w:hAnsi="宋体" w:eastAsia="宋体" w:cs="宋体"/>
          <w:b w:val="0"/>
          <w:bCs/>
          <w:sz w:val="24"/>
          <w:szCs w:val="24"/>
          <w:highlight w:val="yellow"/>
        </w:rPr>
        <w:t>月</w:t>
      </w:r>
      <w:r>
        <w:rPr>
          <w:rFonts w:hint="eastAsia" w:ascii="宋体" w:hAnsi="宋体" w:eastAsia="宋体" w:cs="宋体"/>
          <w:b w:val="0"/>
          <w:bCs/>
          <w:sz w:val="24"/>
          <w:szCs w:val="24"/>
          <w:highlight w:val="yellow"/>
          <w:lang w:val="en-US" w:eastAsia="zh-CN"/>
        </w:rPr>
        <w:t>03</w:t>
      </w:r>
      <w:r>
        <w:rPr>
          <w:rFonts w:hint="eastAsia" w:ascii="宋体" w:hAnsi="宋体" w:eastAsia="宋体" w:cs="宋体"/>
          <w:b w:val="0"/>
          <w:bCs/>
          <w:sz w:val="24"/>
          <w:szCs w:val="24"/>
        </w:rPr>
        <w:t>日上午10:00（北京时间），在厦门海发环保能源股份有限公司2楼开标室（海沧区阳光西路288号）</w:t>
      </w:r>
    </w:p>
    <w:p>
      <w:pPr>
        <w:tabs>
          <w:tab w:val="left" w:pos="0"/>
        </w:tabs>
        <w:snapToGrid w:val="0"/>
        <w:spacing w:line="360" w:lineRule="auto"/>
        <w:ind w:right="105" w:rightChars="50"/>
        <w:jc w:val="left"/>
        <w:rPr>
          <w:rFonts w:ascii="宋体" w:hAnsi="宋体" w:cs="宋体"/>
          <w:bCs/>
          <w:sz w:val="24"/>
          <w:szCs w:val="24"/>
        </w:rPr>
      </w:pPr>
      <w:r>
        <w:rPr>
          <w:rFonts w:hint="eastAsia" w:ascii="宋体" w:hAnsi="宋体" w:cs="宋体"/>
          <w:bCs/>
          <w:sz w:val="24"/>
          <w:szCs w:val="24"/>
        </w:rPr>
        <w:t>6.2 谈判时报价方需参加谈判会议，报价方代表应签名以证明其出席谈判会议，谈判代表须出具身份证原件。</w:t>
      </w:r>
    </w:p>
    <w:p>
      <w:pPr>
        <w:pStyle w:val="2"/>
        <w:keepNext w:val="0"/>
        <w:keepLines w:val="0"/>
        <w:kinsoku w:val="0"/>
        <w:overflowPunct w:val="0"/>
        <w:autoSpaceDE w:val="0"/>
        <w:autoSpaceDN w:val="0"/>
        <w:adjustRightInd/>
        <w:spacing w:before="0" w:after="0" w:line="360" w:lineRule="auto"/>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谈判小组对报价方进行资格性和符合性审查，报价方未进行实质性响应的，不符合资格性及符合性条款和“*”条款要求，视为无效响应报价文件；</w:t>
      </w:r>
    </w:p>
    <w:p>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谈判小组从和通过资格和符合性审查且报价最低的前三位报价方进行谈判。谈判小组所有成员应当集中与单一报价方进行谈判，谈判顺序采用随机抽取的方法确认。</w:t>
      </w:r>
    </w:p>
    <w:p>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 xml:space="preserve">谈判小组对采购文件和报价文件提出重点的谈判内容，根据采购文件及有关规定，与已递送报价文件的各报价方进行一轮谈判。 </w:t>
      </w:r>
    </w:p>
    <w:p>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除非采购文件中的技术、服务要求以及合同草案条款有实质性变动的，否则后一次的报价不得高于前一次的报价，若有出现该情况的，则后一次的报价无效，以前一次的报价为准。</w:t>
      </w:r>
    </w:p>
    <w:p>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响应报价方代表参加谈判并签署报价文件，谈判时应出示身份证原件。</w:t>
      </w:r>
    </w:p>
    <w:p>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pPr>
        <w:pStyle w:val="2"/>
        <w:keepNext w:val="0"/>
        <w:keepLines w:val="0"/>
        <w:tabs>
          <w:tab w:val="left" w:pos="420"/>
        </w:tabs>
        <w:kinsoku w:val="0"/>
        <w:overflowPunct w:val="0"/>
        <w:autoSpaceDE w:val="0"/>
        <w:autoSpaceDN w:val="0"/>
        <w:adjustRightInd/>
        <w:spacing w:before="0" w:after="0" w:line="360" w:lineRule="auto"/>
        <w:jc w:val="both"/>
        <w:textAlignment w:val="auto"/>
        <w:rPr>
          <w:rFonts w:ascii="宋体" w:hAnsi="宋体" w:eastAsia="宋体" w:cs="宋体"/>
          <w:bCs/>
          <w:sz w:val="24"/>
          <w:szCs w:val="24"/>
        </w:rPr>
      </w:pPr>
      <w:r>
        <w:rPr>
          <w:rFonts w:hint="eastAsia" w:ascii="宋体" w:hAnsi="宋体" w:eastAsia="宋体" w:cs="宋体"/>
          <w:bCs/>
          <w:sz w:val="24"/>
          <w:szCs w:val="24"/>
        </w:rPr>
        <w:t>7.8 通过资格和符合性审查且报价未超过项目限高价的响应报价方在3家及以上的，则按照“评审成交原则”确定成交候选单位；通过资格和符合性审查且报价未超过项目限高价的响应报价方不足3家但在1家及以上的，如本项目已经过再次公告或邀请，则按照“评审成交原则”确定成交候选单位，否则本次采购活动终止，采购方将重新发布采购公告。</w:t>
      </w:r>
    </w:p>
    <w:p>
      <w:pPr>
        <w:spacing w:line="360" w:lineRule="auto"/>
        <w:rPr>
          <w:rFonts w:ascii="宋体" w:hAnsi="宋体"/>
          <w:b/>
          <w:bCs/>
          <w:sz w:val="24"/>
        </w:rPr>
      </w:pPr>
      <w:r>
        <w:rPr>
          <w:rFonts w:hint="eastAsia" w:ascii="宋体" w:hAnsi="宋体"/>
          <w:b/>
          <w:sz w:val="24"/>
          <w:szCs w:val="24"/>
        </w:rPr>
        <w:t xml:space="preserve">7.9 </w:t>
      </w:r>
      <w:r>
        <w:rPr>
          <w:rFonts w:hint="eastAsia" w:ascii="宋体" w:hAnsi="宋体"/>
          <w:b/>
          <w:bCs/>
          <w:sz w:val="24"/>
        </w:rPr>
        <w:t>供应商在以往参与我司招标采购项目中，存在已成交或中标采购项目的供应商因自身原因放弃成交或中标资格情形的，自放弃之日起算至参与谈判响应时不满一年的。</w:t>
      </w:r>
    </w:p>
    <w:p>
      <w:pPr>
        <w:tabs>
          <w:tab w:val="left" w:pos="0"/>
        </w:tabs>
        <w:snapToGrid w:val="0"/>
        <w:spacing w:line="360" w:lineRule="auto"/>
        <w:ind w:right="105" w:rightChars="50"/>
        <w:jc w:val="left"/>
        <w:rPr>
          <w:rFonts w:ascii="宋体" w:hAnsi="宋体" w:cs="宋体"/>
          <w:bCs/>
          <w:sz w:val="24"/>
          <w:szCs w:val="24"/>
        </w:rPr>
      </w:pPr>
    </w:p>
    <w:p>
      <w:pPr>
        <w:widowControl/>
        <w:spacing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8</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项目限价</w:t>
      </w:r>
      <w:r>
        <w:rPr>
          <w:rFonts w:hint="eastAsia" w:ascii="宋体" w:hAnsi="宋体" w:eastAsia="宋体" w:cs="宋体"/>
          <w:kern w:val="0"/>
          <w:sz w:val="24"/>
          <w:szCs w:val="24"/>
        </w:rPr>
        <w:t>：本次采购设定限高价为720元/吨(含税），报价高于此价格则视为无效报价。</w:t>
      </w:r>
    </w:p>
    <w:p>
      <w:pPr>
        <w:tabs>
          <w:tab w:val="left" w:pos="0"/>
        </w:tabs>
        <w:kinsoku w:val="0"/>
        <w:overflowPunct w:val="0"/>
        <w:spacing w:line="360" w:lineRule="auto"/>
        <w:ind w:firstLine="0" w:firstLineChars="0"/>
        <w:jc w:val="left"/>
        <w:rPr>
          <w:rFonts w:ascii="宋体" w:hAnsi="宋体" w:eastAsia="宋体"/>
          <w:kern w:val="0"/>
          <w:sz w:val="24"/>
          <w:szCs w:val="24"/>
        </w:rPr>
      </w:pPr>
      <w:r>
        <w:rPr>
          <w:rFonts w:hint="eastAsia" w:ascii="宋体" w:hAnsi="宋体" w:eastAsia="宋体" w:cs="宋体"/>
          <w:kern w:val="0"/>
          <w:sz w:val="24"/>
          <w:szCs w:val="24"/>
        </w:rPr>
        <w:t>9 评审成交原则：本次采用经评审合格且最低价成交法。</w:t>
      </w:r>
      <w:r>
        <w:rPr>
          <w:rFonts w:hint="eastAsia" w:ascii="宋体" w:hAnsi="宋体" w:cs="宋体"/>
          <w:sz w:val="24"/>
          <w:szCs w:val="24"/>
        </w:rPr>
        <w:t xml:space="preserve"> 根据报价由低至高的顺序对成交候选供应商进行排序，确定成交供应商。出现有效最低报价相同的情况，则由评标小组现场抽签确定成交候选供应商顺序。</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10业务联系</w:t>
      </w:r>
      <w:r>
        <w:rPr>
          <w:rFonts w:ascii="宋体" w:hAnsi="宋体" w:eastAsia="宋体" w:cs="宋体"/>
          <w:kern w:val="0"/>
          <w:sz w:val="24"/>
          <w:szCs w:val="24"/>
        </w:rPr>
        <w:t>人</w:t>
      </w:r>
      <w:r>
        <w:rPr>
          <w:rFonts w:hint="eastAsia" w:ascii="宋体" w:hAnsi="宋体" w:eastAsia="宋体" w:cs="宋体"/>
          <w:kern w:val="0"/>
          <w:sz w:val="24"/>
          <w:szCs w:val="24"/>
        </w:rPr>
        <w:t>：曾翼君</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7396</w:t>
      </w:r>
      <w:r>
        <w:rPr>
          <w:rFonts w:hint="eastAsia" w:ascii="宋体" w:hAnsi="宋体" w:eastAsia="宋体" w:cs="宋体"/>
          <w:kern w:val="0"/>
          <w:sz w:val="24"/>
          <w:szCs w:val="24"/>
        </w:rPr>
        <w:t>297 ）</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标书收件人：王芸芸（联系电话：</w:t>
      </w:r>
      <w:r>
        <w:rPr>
          <w:rFonts w:hint="eastAsia" w:ascii="宋体" w:hAnsi="宋体"/>
          <w:kern w:val="0"/>
          <w:sz w:val="24"/>
          <w:szCs w:val="24"/>
        </w:rPr>
        <w:t>0592-13860158176</w:t>
      </w:r>
      <w:r>
        <w:rPr>
          <w:rFonts w:hint="eastAsia" w:ascii="宋体" w:hAnsi="宋体" w:eastAsia="宋体" w:cs="宋体"/>
          <w:kern w:val="0"/>
          <w:sz w:val="24"/>
          <w:szCs w:val="24"/>
        </w:rPr>
        <w:t>）</w:t>
      </w:r>
    </w:p>
    <w:p>
      <w:pPr>
        <w:widowControl/>
        <w:spacing w:line="276" w:lineRule="auto"/>
        <w:ind w:left="1920" w:hanging="1920" w:hangingChars="800"/>
        <w:jc w:val="left"/>
        <w:rPr>
          <w:rFonts w:ascii="宋体" w:hAnsi="宋体" w:eastAsia="宋体"/>
          <w:sz w:val="24"/>
          <w:szCs w:val="24"/>
          <w:shd w:val="clear" w:color="auto" w:fill="FFFFFF"/>
        </w:rPr>
      </w:pPr>
      <w:r>
        <w:rPr>
          <w:rFonts w:hint="eastAsia" w:ascii="宋体" w:hAnsi="宋体" w:eastAsia="宋体"/>
          <w:sz w:val="24"/>
          <w:szCs w:val="24"/>
        </w:rPr>
        <w:t>11监督</w:t>
      </w:r>
      <w:r>
        <w:rPr>
          <w:rFonts w:hint="eastAsia"/>
          <w:sz w:val="24"/>
          <w:szCs w:val="24"/>
          <w:shd w:val="clear" w:color="auto" w:fill="FFFFFF"/>
        </w:rPr>
        <w:t>投诉</w:t>
      </w:r>
      <w:r>
        <w:rPr>
          <w:rFonts w:ascii="宋体" w:hAnsi="宋体" w:eastAsia="宋体"/>
          <w:sz w:val="24"/>
          <w:szCs w:val="24"/>
        </w:rPr>
        <w:t>电话</w:t>
      </w:r>
      <w:r>
        <w:rPr>
          <w:rFonts w:hint="eastAsia" w:ascii="宋体" w:hAnsi="宋体" w:eastAsia="宋体"/>
          <w:sz w:val="24"/>
          <w:szCs w:val="24"/>
        </w:rPr>
        <w:t>：</w:t>
      </w:r>
      <w:r>
        <w:rPr>
          <w:rFonts w:hint="eastAsia" w:ascii="宋体" w:hAnsi="宋体" w:eastAsia="宋体"/>
          <w:sz w:val="24"/>
          <w:szCs w:val="24"/>
          <w:shd w:val="clear" w:color="auto" w:fill="FFFFFF"/>
        </w:rPr>
        <w:t>海发集团纪检监察室0592-6800131 、</w:t>
      </w:r>
    </w:p>
    <w:p>
      <w:pPr>
        <w:widowControl/>
        <w:spacing w:line="276" w:lineRule="auto"/>
        <w:ind w:left="1915" w:leftChars="912"/>
        <w:jc w:val="left"/>
        <w:rPr>
          <w:rFonts w:ascii="宋体" w:hAnsi="宋体" w:eastAsia="宋体" w:cs="宋体"/>
          <w:kern w:val="0"/>
          <w:sz w:val="24"/>
          <w:szCs w:val="24"/>
        </w:rPr>
      </w:pPr>
      <w:r>
        <w:rPr>
          <w:rFonts w:hint="eastAsia" w:ascii="宋体" w:hAnsi="宋体" w:eastAsia="宋体"/>
          <w:sz w:val="24"/>
          <w:szCs w:val="24"/>
          <w:shd w:val="clear" w:color="auto" w:fill="FFFFFF"/>
        </w:rPr>
        <w:t xml:space="preserve">环保能源公司纪检小组 </w:t>
      </w:r>
      <w:r>
        <w:rPr>
          <w:rFonts w:ascii="宋体" w:hAnsi="宋体" w:eastAsia="宋体"/>
          <w:sz w:val="24"/>
          <w:szCs w:val="24"/>
          <w:shd w:val="clear" w:color="auto" w:fill="FFFFFF"/>
        </w:rPr>
        <w:t>0592-</w:t>
      </w:r>
      <w:r>
        <w:rPr>
          <w:rFonts w:hint="eastAsia" w:ascii="宋体" w:hAnsi="宋体" w:eastAsia="宋体"/>
          <w:sz w:val="24"/>
          <w:szCs w:val="24"/>
          <w:shd w:val="clear" w:color="auto" w:fill="FFFFFF"/>
        </w:rPr>
        <w:t>6807596</w:t>
      </w:r>
    </w:p>
    <w:p>
      <w:pPr>
        <w:widowControl/>
        <w:spacing w:line="276"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5年06月</w:t>
      </w:r>
      <w:r>
        <w:rPr>
          <w:rFonts w:hint="eastAsia" w:ascii="宋体" w:hAnsi="宋体" w:eastAsia="宋体" w:cs="宋体"/>
          <w:b/>
          <w:kern w:val="0"/>
          <w:sz w:val="24"/>
          <w:szCs w:val="24"/>
          <w:lang w:val="en-US" w:eastAsia="zh-CN"/>
        </w:rPr>
        <w:t>25</w:t>
      </w:r>
      <w:bookmarkStart w:id="54" w:name="_GoBack"/>
      <w:bookmarkEnd w:id="54"/>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p>
    <w:p>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2"/>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谈判</w:t>
      </w:r>
      <w:r>
        <w:rPr>
          <w:rFonts w:ascii="宋体" w:hAnsi="宋体" w:eastAsia="宋体" w:cs="宋体"/>
          <w:b/>
          <w:kern w:val="0"/>
          <w:sz w:val="36"/>
          <w:szCs w:val="36"/>
        </w:rPr>
        <w:t>须知</w:t>
      </w:r>
    </w:p>
    <w:p>
      <w:pPr>
        <w:widowControl/>
        <w:spacing w:line="276" w:lineRule="auto"/>
        <w:ind w:firstLine="480" w:firstLineChars="200"/>
        <w:jc w:val="left"/>
        <w:rPr>
          <w:rFonts w:ascii="宋体" w:hAnsi="宋体" w:eastAsia="宋体"/>
          <w:sz w:val="24"/>
          <w:szCs w:val="24"/>
        </w:rPr>
      </w:pPr>
      <w:r>
        <w:rPr>
          <w:rFonts w:hint="eastAsia" w:ascii="宋体" w:hAnsi="宋体" w:eastAsia="宋体"/>
          <w:sz w:val="24"/>
          <w:szCs w:val="24"/>
        </w:rPr>
        <w:t>本项目为同集热电事业部无烟煤采购，采购方为</w:t>
      </w: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r>
        <w:rPr>
          <w:rFonts w:hint="eastAsia" w:ascii="宋体" w:hAnsi="宋体" w:eastAsia="宋体"/>
          <w:sz w:val="24"/>
          <w:szCs w:val="24"/>
        </w:rPr>
        <w:t>报价方请仔细阅读本采购文件的内容以保证提交完整有效的报价文件参加报价活动。</w:t>
      </w:r>
    </w:p>
    <w:p>
      <w:pPr>
        <w:numPr>
          <w:ilvl w:val="0"/>
          <w:numId w:val="3"/>
        </w:numPr>
        <w:adjustRightInd w:val="0"/>
        <w:snapToGrid w:val="0"/>
        <w:spacing w:line="276" w:lineRule="auto"/>
        <w:ind w:right="105" w:rightChars="50"/>
        <w:jc w:val="left"/>
        <w:rPr>
          <w:rFonts w:ascii="宋体" w:hAnsi="宋体"/>
          <w:bCs/>
          <w:sz w:val="24"/>
          <w:szCs w:val="24"/>
        </w:rPr>
      </w:pPr>
      <w:bookmarkStart w:id="1" w:name="_Toc514_WPSOffice_Level2"/>
      <w:bookmarkStart w:id="2" w:name="_Toc33340836"/>
      <w:bookmarkStart w:id="3" w:name="_Toc32305_WPSOffice_Level2"/>
      <w:bookmarkStart w:id="4" w:name="_Toc24083811"/>
      <w:bookmarkStart w:id="5" w:name="_Toc260230610"/>
      <w:bookmarkStart w:id="6" w:name="_Toc293413478"/>
      <w:bookmarkStart w:id="7" w:name="_Toc229281569"/>
      <w:bookmarkStart w:id="8" w:name="_Toc23613348"/>
      <w:bookmarkStart w:id="9" w:name="_Toc260238414"/>
      <w:bookmarkStart w:id="10" w:name="_Toc32472_WPSOffice_Level2"/>
      <w:bookmarkStart w:id="11" w:name="_Toc24455231"/>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报价方须知</w:t>
      </w:r>
    </w:p>
    <w:p>
      <w:pPr>
        <w:numPr>
          <w:ilvl w:val="0"/>
          <w:numId w:val="4"/>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3"/>
        </w:numPr>
        <w:adjustRightInd w:val="0"/>
        <w:snapToGrid w:val="0"/>
        <w:spacing w:line="276" w:lineRule="auto"/>
        <w:ind w:right="105" w:rightChars="50"/>
        <w:jc w:val="left"/>
        <w:rPr>
          <w:rFonts w:ascii="宋体" w:hAnsi="宋体"/>
          <w:bCs/>
          <w:sz w:val="24"/>
          <w:szCs w:val="24"/>
        </w:rPr>
      </w:pPr>
      <w:bookmarkStart w:id="12" w:name="_Toc293413479"/>
      <w:bookmarkStart w:id="13" w:name="_Toc20923_WPSOffice_Level2"/>
      <w:bookmarkStart w:id="14" w:name="_Toc11355_WPSOffice_Level2"/>
      <w:bookmarkStart w:id="15" w:name="_Toc32292_WPSOffice_Level2"/>
      <w:r>
        <w:rPr>
          <w:rFonts w:hint="eastAsia" w:ascii="宋体" w:hAnsi="宋体"/>
          <w:bCs/>
          <w:sz w:val="24"/>
          <w:szCs w:val="24"/>
        </w:rPr>
        <w:t>采购文件澄清和修改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3"/>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ascii="宋体" w:hAnsi="宋体"/>
          <w:sz w:val="24"/>
          <w:szCs w:val="24"/>
        </w:rPr>
      </w:pPr>
      <w:r>
        <w:rPr>
          <w:rFonts w:hint="eastAsia" w:ascii="宋体" w:hAnsi="宋体"/>
          <w:sz w:val="24"/>
          <w:szCs w:val="24"/>
        </w:rPr>
        <w:t>3.6谈判承诺书（如谈判代表未到现场，则需提供）</w:t>
      </w:r>
    </w:p>
    <w:p>
      <w:pPr>
        <w:adjustRightInd w:val="0"/>
        <w:snapToGrid w:val="0"/>
        <w:spacing w:line="276" w:lineRule="auto"/>
        <w:ind w:right="105" w:rightChars="50"/>
        <w:jc w:val="left"/>
        <w:rPr>
          <w:rFonts w:ascii="宋体" w:hAnsi="宋体"/>
          <w:sz w:val="24"/>
          <w:szCs w:val="24"/>
        </w:rPr>
      </w:pPr>
      <w:r>
        <w:rPr>
          <w:rFonts w:ascii="宋体" w:hAnsi="宋体"/>
          <w:sz w:val="24"/>
          <w:szCs w:val="24"/>
        </w:rPr>
        <w:t>3.</w:t>
      </w:r>
      <w:r>
        <w:rPr>
          <w:rFonts w:hint="eastAsia" w:ascii="宋体" w:hAnsi="宋体"/>
          <w:sz w:val="24"/>
          <w:szCs w:val="24"/>
        </w:rPr>
        <w:t>7报价方认为需要提供的其他资料。</w:t>
      </w:r>
    </w:p>
    <w:p>
      <w:pPr>
        <w:numPr>
          <w:ilvl w:val="0"/>
          <w:numId w:val="3"/>
        </w:numPr>
        <w:adjustRightInd w:val="0"/>
        <w:snapToGrid w:val="0"/>
        <w:spacing w:line="276" w:lineRule="auto"/>
        <w:ind w:right="105" w:rightChars="50"/>
        <w:jc w:val="left"/>
        <w:rPr>
          <w:rFonts w:ascii="宋体" w:hAnsi="宋体"/>
          <w:bCs/>
          <w:sz w:val="24"/>
          <w:szCs w:val="24"/>
        </w:rPr>
      </w:pPr>
      <w:bookmarkStart w:id="16" w:name="_Toc293413480"/>
      <w:bookmarkStart w:id="17" w:name="_Toc12004_WPSOffice_Level2"/>
      <w:bookmarkStart w:id="18" w:name="_Toc33340838"/>
      <w:bookmarkStart w:id="19" w:name="_Toc1802_WPSOffice_Level2"/>
      <w:bookmarkStart w:id="20" w:name="_Toc17624_WPSOffice_Level2"/>
      <w:bookmarkStart w:id="21" w:name="_Toc24083813"/>
      <w:bookmarkStart w:id="22" w:name="_Toc24455233"/>
      <w:bookmarkStart w:id="23" w:name="_Toc260230612"/>
      <w:bookmarkStart w:id="24" w:name="_Toc260238416"/>
      <w:bookmarkStart w:id="25" w:name="_Toc229281571"/>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3"/>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邀请报价方现场参与谈判</w:t>
      </w:r>
      <w:r>
        <w:rPr>
          <w:rFonts w:hint="eastAsia" w:ascii="宋体" w:hAnsi="宋体"/>
          <w:sz w:val="24"/>
          <w:szCs w:val="24"/>
        </w:rPr>
        <w:t>。</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spacing w:line="360" w:lineRule="auto"/>
        <w:rPr>
          <w:rFonts w:ascii="宋体" w:hAnsi="宋体"/>
          <w:sz w:val="24"/>
        </w:rPr>
      </w:pPr>
      <w:r>
        <w:rPr>
          <w:rFonts w:hint="eastAsia" w:ascii="宋体" w:hAnsi="宋体"/>
          <w:sz w:val="24"/>
        </w:rPr>
        <w:t>5.1.4 凡有下列情况之一者，响应文件也将被视为未实质性响应谈判文件要求，报价文件视为无效报价：</w:t>
      </w:r>
    </w:p>
    <w:p>
      <w:pPr>
        <w:numPr>
          <w:ilvl w:val="0"/>
          <w:numId w:val="9"/>
        </w:numPr>
        <w:spacing w:line="360" w:lineRule="auto"/>
        <w:rPr>
          <w:rFonts w:ascii="宋体" w:hAnsi="宋体"/>
          <w:b/>
          <w:bCs/>
          <w:sz w:val="24"/>
        </w:rPr>
      </w:pPr>
      <w:r>
        <w:rPr>
          <w:rFonts w:hint="eastAsia" w:ascii="宋体" w:hAnsi="宋体"/>
          <w:b/>
          <w:bCs/>
          <w:sz w:val="24"/>
        </w:rPr>
        <w:t>供应商在以往参与我司招标采购项目中，存在已成交或中标采购项目的供应商因自身原因放弃成交或中标资格情形的，自放弃之日起算至参与谈判响应时不满一年的。</w:t>
      </w:r>
    </w:p>
    <w:p>
      <w:pPr>
        <w:numPr>
          <w:ilvl w:val="0"/>
          <w:numId w:val="9"/>
        </w:numPr>
        <w:spacing w:line="360" w:lineRule="auto"/>
        <w:rPr>
          <w:rFonts w:ascii="宋体" w:hAnsi="宋体"/>
          <w:sz w:val="24"/>
        </w:rPr>
      </w:pPr>
      <w:r>
        <w:rPr>
          <w:rFonts w:hint="eastAsia" w:ascii="宋体" w:hAnsi="宋体"/>
          <w:sz w:val="24"/>
        </w:rPr>
        <w:t>谈判响应文件未按照本须知的规定进行密封、标记的；</w:t>
      </w:r>
    </w:p>
    <w:p>
      <w:pPr>
        <w:spacing w:line="360" w:lineRule="auto"/>
        <w:rPr>
          <w:rFonts w:ascii="宋体" w:hAnsi="宋体"/>
          <w:sz w:val="24"/>
        </w:rPr>
      </w:pPr>
      <w:r>
        <w:rPr>
          <w:rFonts w:hint="eastAsia" w:ascii="宋体" w:hAnsi="宋体"/>
          <w:sz w:val="24"/>
        </w:rPr>
        <w:t>（3）谈判响应文件未按规定加盖谈判响应供应商公章的；</w:t>
      </w:r>
    </w:p>
    <w:p>
      <w:pPr>
        <w:spacing w:line="360" w:lineRule="auto"/>
        <w:rPr>
          <w:rFonts w:ascii="宋体" w:hAnsi="宋体"/>
          <w:sz w:val="24"/>
        </w:rPr>
      </w:pPr>
      <w:r>
        <w:rPr>
          <w:rFonts w:hint="eastAsia" w:ascii="宋体" w:hAnsi="宋体" w:cs="宋体"/>
          <w:b/>
          <w:sz w:val="24"/>
        </w:rPr>
        <w:t>（4）谈判响应供应商代表未到现场参加谈判的</w:t>
      </w:r>
      <w:r>
        <w:rPr>
          <w:rFonts w:hint="eastAsia" w:ascii="宋体" w:hAnsi="宋体" w:cs="宋体"/>
          <w:sz w:val="24"/>
        </w:rPr>
        <w:t>；</w:t>
      </w:r>
    </w:p>
    <w:p>
      <w:pPr>
        <w:spacing w:line="360" w:lineRule="auto"/>
        <w:rPr>
          <w:rFonts w:ascii="宋体" w:hAnsi="宋体"/>
          <w:sz w:val="24"/>
        </w:rPr>
      </w:pPr>
      <w:r>
        <w:rPr>
          <w:rFonts w:hint="eastAsia" w:ascii="宋体" w:hAnsi="宋体"/>
          <w:sz w:val="24"/>
        </w:rPr>
        <w:t>（5）谈判响应文件未按规定由谈判响应供应商的法定代表人（或单位负责人）或其授权代表签字；</w:t>
      </w:r>
    </w:p>
    <w:p>
      <w:pPr>
        <w:spacing w:line="360" w:lineRule="auto"/>
        <w:rPr>
          <w:rFonts w:ascii="宋体" w:hAnsi="宋体"/>
          <w:sz w:val="24"/>
        </w:rPr>
      </w:pPr>
      <w:r>
        <w:rPr>
          <w:rFonts w:hint="eastAsia" w:ascii="宋体" w:hAnsi="宋体"/>
          <w:sz w:val="24"/>
        </w:rPr>
        <w:t>（6） 非法定代表人（或单位负责人）的签字人未在谈判响应文件中提供经法定代表人（或单位负责人）签字并加盖谈判响应供应商公章的有效授权委托书的；</w:t>
      </w:r>
    </w:p>
    <w:p>
      <w:pPr>
        <w:spacing w:line="360" w:lineRule="auto"/>
        <w:rPr>
          <w:rFonts w:ascii="宋体" w:hAnsi="宋体"/>
          <w:sz w:val="24"/>
        </w:rPr>
      </w:pPr>
      <w:r>
        <w:rPr>
          <w:rFonts w:hint="eastAsia" w:ascii="宋体" w:hAnsi="宋体"/>
          <w:sz w:val="24"/>
        </w:rPr>
        <w:t>（7）谈判报价一览表未加盖谈判响应供应商公章；</w:t>
      </w:r>
    </w:p>
    <w:p>
      <w:pPr>
        <w:spacing w:line="360" w:lineRule="auto"/>
        <w:rPr>
          <w:rFonts w:ascii="宋体" w:hAnsi="宋体"/>
          <w:sz w:val="24"/>
        </w:rPr>
      </w:pPr>
      <w:r>
        <w:rPr>
          <w:rFonts w:hint="eastAsia" w:ascii="宋体" w:hAnsi="宋体"/>
          <w:sz w:val="24"/>
        </w:rPr>
        <w:t>（8）谈判响应保证金的金额不足、或保证金不能确保进账的；</w:t>
      </w:r>
    </w:p>
    <w:p>
      <w:pPr>
        <w:spacing w:line="360" w:lineRule="auto"/>
        <w:rPr>
          <w:rFonts w:ascii="宋体" w:hAnsi="宋体"/>
          <w:sz w:val="24"/>
        </w:rPr>
      </w:pPr>
      <w:r>
        <w:rPr>
          <w:rFonts w:hint="eastAsia" w:ascii="宋体" w:hAnsi="宋体"/>
          <w:sz w:val="24"/>
        </w:rPr>
        <w:t>（9）谈判响应供应商的谈判有效期不满足谈判文件要求的；</w:t>
      </w:r>
    </w:p>
    <w:p>
      <w:pPr>
        <w:spacing w:line="360" w:lineRule="auto"/>
        <w:rPr>
          <w:rFonts w:ascii="宋体" w:hAnsi="宋体"/>
          <w:sz w:val="24"/>
        </w:rPr>
      </w:pPr>
      <w:r>
        <w:rPr>
          <w:rFonts w:hint="eastAsia" w:ascii="宋体" w:hAnsi="宋体"/>
          <w:sz w:val="24"/>
        </w:rPr>
        <w:t>（10）谈判响应内容与谈判内容及要求有重大偏离或保留的，或谈判响应文件不符合谈判文件中规定的其它实质性条款；</w:t>
      </w:r>
    </w:p>
    <w:p>
      <w:pPr>
        <w:spacing w:line="360" w:lineRule="auto"/>
        <w:rPr>
          <w:rFonts w:ascii="宋体" w:hAnsi="宋体"/>
          <w:sz w:val="24"/>
        </w:rPr>
      </w:pPr>
      <w:r>
        <w:rPr>
          <w:rFonts w:hint="eastAsia" w:ascii="宋体" w:hAnsi="宋体"/>
          <w:sz w:val="24"/>
        </w:rPr>
        <w:t>（11）两个或两个以上谈判响应供应商的谈判响应文件在其个性部分明显出现雷同的；</w:t>
      </w:r>
    </w:p>
    <w:p>
      <w:pPr>
        <w:spacing w:line="360" w:lineRule="auto"/>
        <w:rPr>
          <w:rFonts w:ascii="宋体" w:hAnsi="宋体"/>
          <w:sz w:val="24"/>
        </w:rPr>
      </w:pPr>
      <w:r>
        <w:rPr>
          <w:rFonts w:hint="eastAsia" w:ascii="宋体" w:hAnsi="宋体"/>
          <w:sz w:val="24"/>
        </w:rPr>
        <w:t>（12）谈判响应供应商提交的是可选择的报价；</w:t>
      </w:r>
    </w:p>
    <w:p>
      <w:pPr>
        <w:spacing w:line="360" w:lineRule="auto"/>
        <w:rPr>
          <w:rFonts w:ascii="宋体" w:hAnsi="宋体"/>
          <w:sz w:val="24"/>
        </w:rPr>
      </w:pPr>
      <w:r>
        <w:rPr>
          <w:rFonts w:hint="eastAsia" w:ascii="宋体" w:hAnsi="宋体"/>
          <w:sz w:val="24"/>
        </w:rPr>
        <w:t>（13）谈判响应文件中提供虚假或失实资料的；</w:t>
      </w:r>
    </w:p>
    <w:p>
      <w:pPr>
        <w:spacing w:line="360" w:lineRule="auto"/>
        <w:rPr>
          <w:rFonts w:ascii="宋体" w:hAnsi="宋体"/>
          <w:sz w:val="24"/>
        </w:rPr>
      </w:pPr>
      <w:r>
        <w:rPr>
          <w:rFonts w:hint="eastAsia" w:ascii="宋体" w:hAnsi="宋体"/>
          <w:sz w:val="24"/>
        </w:rPr>
        <w:t>（14）谈判文件规定的其他情形；</w:t>
      </w:r>
    </w:p>
    <w:p>
      <w:pPr>
        <w:pStyle w:val="27"/>
        <w:spacing w:line="360" w:lineRule="auto"/>
        <w:jc w:val="both"/>
        <w:rPr>
          <w:rFonts w:hAnsi="宋体"/>
          <w:color w:val="auto"/>
        </w:rPr>
      </w:pPr>
      <w:r>
        <w:rPr>
          <w:rFonts w:hint="eastAsia" w:hAnsi="宋体"/>
          <w:color w:val="auto"/>
        </w:rPr>
        <w:t>（</w:t>
      </w:r>
      <w:r>
        <w:rPr>
          <w:rFonts w:hAnsi="宋体"/>
          <w:color w:val="auto"/>
        </w:rPr>
        <w:t>1</w:t>
      </w:r>
      <w:r>
        <w:rPr>
          <w:rFonts w:hint="eastAsia" w:hAnsi="宋体"/>
          <w:color w:val="auto"/>
        </w:rPr>
        <w:t>5）谈判响应文件不满足谈判文件中带★条款要求的。</w:t>
      </w:r>
    </w:p>
    <w:p>
      <w:pPr>
        <w:tabs>
          <w:tab w:val="left" w:pos="0"/>
        </w:tabs>
        <w:snapToGrid w:val="0"/>
        <w:spacing w:line="360" w:lineRule="auto"/>
        <w:ind w:right="105" w:rightChars="50"/>
        <w:jc w:val="left"/>
        <w:rPr>
          <w:rFonts w:ascii="宋体" w:hAnsi="宋体"/>
          <w:bCs/>
          <w:sz w:val="24"/>
          <w:szCs w:val="24"/>
        </w:rPr>
      </w:pPr>
      <w:r>
        <w:rPr>
          <w:rFonts w:hint="eastAsia" w:ascii="宋体" w:hAnsi="宋体" w:cs="宋体"/>
          <w:sz w:val="24"/>
        </w:rPr>
        <w:t xml:space="preserve">    谈判小组决定谈判响应供应商的响应性只根据响应文件本身的内容，而不寻求其他的外部证据。</w:t>
      </w:r>
    </w:p>
    <w:p>
      <w:pPr>
        <w:spacing w:line="360" w:lineRule="auto"/>
        <w:rPr>
          <w:rFonts w:ascii="宋体" w:hAnsi="宋体"/>
          <w:bCs/>
          <w:sz w:val="24"/>
          <w:szCs w:val="24"/>
        </w:rPr>
      </w:pPr>
      <w:r>
        <w:rPr>
          <w:rFonts w:hint="eastAsia" w:ascii="宋体" w:hAnsi="宋体"/>
          <w:bCs/>
          <w:sz w:val="24"/>
          <w:szCs w:val="24"/>
        </w:rPr>
        <w:t>5.1.5本项目若属于首次进行竞争性谈判采购的，在采购过程中出现下列情况的，本次谈判失败。</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5.1.5.1在规定谈判截止时间前递交响应文件的供应商不足三家的；</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5.1.5.2能满足采购文件实质性要求的有效供应商不足三家的；</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5.1.5.3首次报价或最终报价未超过采购最高限价的有效供应商不足三家的。</w:t>
      </w:r>
    </w:p>
    <w:p>
      <w:pPr>
        <w:tabs>
          <w:tab w:val="left" w:pos="0"/>
        </w:tabs>
        <w:kinsoku w:val="0"/>
        <w:overflowPunct w:val="0"/>
        <w:autoSpaceDE w:val="0"/>
        <w:autoSpaceDN w:val="0"/>
        <w:spacing w:line="276" w:lineRule="auto"/>
        <w:jc w:val="left"/>
        <w:rPr>
          <w:rFonts w:ascii="宋体" w:hAnsi="宋体"/>
          <w:sz w:val="24"/>
          <w:szCs w:val="24"/>
        </w:rPr>
      </w:pPr>
      <w:r>
        <w:rPr>
          <w:rFonts w:hint="eastAsia" w:ascii="宋体" w:hAnsi="宋体"/>
          <w:bCs/>
          <w:sz w:val="24"/>
          <w:szCs w:val="24"/>
        </w:rPr>
        <w:t>5.1.6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单一采购进行协商谈判，按照符合采购需求、报价合理的原则推荐成交供应商。</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r>
        <w:rPr>
          <w:rFonts w:hint="eastAsia" w:ascii="宋体" w:hAnsi="宋体" w:eastAsia="宋体" w:cs="宋体"/>
          <w:bCs/>
          <w:sz w:val="24"/>
          <w:szCs w:val="24"/>
        </w:rPr>
        <w:t>谈判小组从通过资格和符合性审查且报价最低的前三位报价方进行谈判。谈判小组所有成员应当全员到齐与单一报价方分别进行谈判，谈判顺序采用随机抽取的方法确认。</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eastAsia="宋体" w:cs="宋体"/>
          <w:bCs/>
          <w:sz w:val="24"/>
          <w:szCs w:val="24"/>
        </w:rPr>
        <w:t>谈判小组对采购文件和报价文件提出重点的谈判内容，根据采购文件及有关规定，与已递送报价文件的各报价方代表进行一轮谈判。报价方代表未到现场，应在响应报价文件中出具谈判承诺书。</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5.2.4谈判小组与报价方就谈判文件技术、商务、合同条款等内容进行谈判，报价方第二次报价不得高于第一次报价。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5.2.5响应文件报价出现前后不一致的，除谈判文件另有规定外，按照下列规定修正：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5.2.5.2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5.2.5.4 总价金额与按单价汇总金额不一致的，以单价金额计算结果为准。</w:t>
      </w:r>
    </w:p>
    <w:p>
      <w:pPr>
        <w:pStyle w:val="11"/>
        <w:ind w:left="0" w:firstLine="0" w:firstLineChars="0"/>
        <w:rPr>
          <w:rFonts w:ascii="宋体" w:hAnsi="宋体"/>
          <w:bCs/>
          <w:szCs w:val="24"/>
        </w:rPr>
      </w:pPr>
      <w:r>
        <w:rPr>
          <w:rFonts w:hint="eastAsia" w:ascii="宋体" w:hAnsi="宋体"/>
          <w:bCs/>
          <w:szCs w:val="24"/>
        </w:rPr>
        <w:t>同时出现两种以上不一致的，按照前款规定的顺序修正。修正后的报价经供应商确认后产生约束力，供应商不确认的，其响应无效。</w:t>
      </w:r>
    </w:p>
    <w:p>
      <w:pPr>
        <w:kinsoku w:val="0"/>
        <w:overflowPunct w:val="0"/>
        <w:autoSpaceDE w:val="0"/>
        <w:autoSpaceDN w:val="0"/>
        <w:spacing w:line="276"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 xml:space="preserve"> </w:t>
      </w:r>
      <w:r>
        <w:rPr>
          <w:rFonts w:hint="eastAsia" w:ascii="宋体" w:hAnsi="宋体" w:eastAsia="宋体" w:cs="宋体"/>
          <w:kern w:val="0"/>
          <w:sz w:val="24"/>
          <w:szCs w:val="24"/>
        </w:rPr>
        <w:t>成交通知书</w:t>
      </w:r>
    </w:p>
    <w:p>
      <w:pPr>
        <w:kinsoku w:val="0"/>
        <w:overflowPunct w:val="0"/>
        <w:autoSpaceDE w:val="0"/>
        <w:autoSpaceDN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6.2成交供应商应在接到成交通知书后，五个工作日内与采购方签订合同，采购方和成交供应商不得另行订立背离合同实质性内容的其它协议。</w:t>
      </w:r>
    </w:p>
    <w:p>
      <w:pPr>
        <w:kinsoku w:val="0"/>
        <w:overflowPunct w:val="0"/>
        <w:autoSpaceDE w:val="0"/>
        <w:autoSpaceDN w:val="0"/>
        <w:spacing w:line="276" w:lineRule="auto"/>
        <w:jc w:val="left"/>
        <w:rPr>
          <w:rFonts w:ascii="宋体" w:hAnsi="宋体" w:eastAsia="宋体"/>
          <w:sz w:val="24"/>
          <w:szCs w:val="24"/>
        </w:rPr>
      </w:pPr>
      <w:r>
        <w:rPr>
          <w:rFonts w:hint="eastAsia" w:ascii="宋体" w:hAnsi="宋体" w:eastAsia="宋体" w:cs="宋体"/>
          <w:kern w:val="0"/>
          <w:sz w:val="24"/>
          <w:szCs w:val="24"/>
        </w:rPr>
        <w:t>6.3成交供应商因不可抗力或者自身原因不能履行采购合同的，采购方可以与顺延第二成交供应商签订合同，以此类推。</w:t>
      </w:r>
    </w:p>
    <w:p>
      <w:pPr>
        <w:spacing w:line="276" w:lineRule="auto"/>
        <w:rPr>
          <w:b/>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pStyle w:val="3"/>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numPr>
          <w:ilvl w:val="0"/>
          <w:numId w:val="12"/>
        </w:num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同集热电</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生产需求，现进行煤炭</w:t>
      </w:r>
      <w:r>
        <w:rPr>
          <w:rFonts w:ascii="宋体" w:hAnsi="宋体" w:eastAsia="宋体" w:cs="宋体"/>
          <w:kern w:val="0"/>
          <w:sz w:val="24"/>
          <w:szCs w:val="24"/>
        </w:rPr>
        <w:t>（</w:t>
      </w:r>
      <w:r>
        <w:rPr>
          <w:rFonts w:hint="eastAsia" w:ascii="宋体" w:hAnsi="宋体" w:eastAsia="宋体" w:cs="宋体"/>
          <w:kern w:val="0"/>
          <w:sz w:val="24"/>
          <w:szCs w:val="24"/>
        </w:rPr>
        <w:t>无</w:t>
      </w:r>
      <w:r>
        <w:rPr>
          <w:rFonts w:ascii="宋体" w:hAnsi="宋体" w:eastAsia="宋体" w:cs="宋体"/>
          <w:kern w:val="0"/>
          <w:sz w:val="24"/>
          <w:szCs w:val="24"/>
        </w:rPr>
        <w:t>烟煤）</w:t>
      </w:r>
      <w:r>
        <w:rPr>
          <w:rFonts w:hint="eastAsia" w:ascii="宋体" w:hAnsi="宋体" w:eastAsia="宋体" w:cs="宋体"/>
          <w:kern w:val="0"/>
          <w:sz w:val="24"/>
          <w:szCs w:val="24"/>
        </w:rPr>
        <w:t>竞争性谈判采购，各</w:t>
      </w:r>
      <w:r>
        <w:rPr>
          <w:rFonts w:hint="eastAsia" w:ascii="宋体" w:hAnsi="宋体" w:eastAsia="宋体"/>
          <w:sz w:val="24"/>
          <w:szCs w:val="24"/>
        </w:rPr>
        <w:t>供应商按照采购文件要求进行响应。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同集事业部无烟煤</w:t>
      </w:r>
      <w:r>
        <w:rPr>
          <w:rFonts w:hint="eastAsia" w:ascii="宋体" w:hAnsi="宋体" w:eastAsia="宋体" w:cs="宋体"/>
          <w:kern w:val="0"/>
          <w:sz w:val="24"/>
          <w:szCs w:val="24"/>
        </w:rPr>
        <w:t>采购</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2.2名称及数量</w:t>
      </w:r>
    </w:p>
    <w:tbl>
      <w:tblPr>
        <w:tblStyle w:val="13"/>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460"/>
        <w:gridCol w:w="1837"/>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1199"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需求部门</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无烟煤</w:t>
            </w:r>
          </w:p>
        </w:tc>
        <w:tc>
          <w:tcPr>
            <w:tcW w:w="1199" w:type="pct"/>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同集</w:t>
            </w:r>
            <w:r>
              <w:rPr>
                <w:rFonts w:ascii="宋体" w:hAnsi="宋体" w:eastAsia="宋体" w:cs="宋体"/>
                <w:b/>
                <w:kern w:val="0"/>
                <w:sz w:val="24"/>
                <w:szCs w:val="24"/>
              </w:rPr>
              <w:t>热电</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1000吨</w:t>
            </w:r>
          </w:p>
        </w:tc>
      </w:tr>
    </w:tbl>
    <w:p>
      <w:pPr>
        <w:widowControl/>
        <w:spacing w:line="276" w:lineRule="auto"/>
        <w:jc w:val="left"/>
        <w:rPr>
          <w:rFonts w:ascii="宋体" w:hAnsi="宋体" w:eastAsia="宋体"/>
          <w:sz w:val="24"/>
          <w:szCs w:val="24"/>
        </w:rPr>
      </w:pPr>
      <w:r>
        <w:rPr>
          <w:rFonts w:hint="eastAsia" w:ascii="宋体" w:hAnsi="宋体" w:eastAsia="宋体"/>
          <w:sz w:val="24"/>
          <w:szCs w:val="24"/>
        </w:rPr>
        <w:t>2.3指标</w:t>
      </w:r>
      <w:r>
        <w:rPr>
          <w:rFonts w:ascii="宋体" w:hAnsi="宋体" w:eastAsia="宋体"/>
          <w:sz w:val="24"/>
          <w:szCs w:val="24"/>
        </w:rPr>
        <w:t>要求：</w:t>
      </w:r>
      <w:r>
        <w:rPr>
          <w:rFonts w:hint="eastAsia" w:ascii="宋体" w:hAnsi="宋体" w:cs="宋体"/>
          <w:sz w:val="24"/>
          <w:szCs w:val="24"/>
        </w:rPr>
        <w:t>热值:4800±200 cal/g，S≤0.5%，水分≤ 8% ，空干基灰分≤ 30%， 空干基挥发分≤ 6%。</w:t>
      </w:r>
    </w:p>
    <w:p>
      <w:pPr>
        <w:widowControl/>
        <w:spacing w:line="276" w:lineRule="auto"/>
        <w:jc w:val="left"/>
        <w:rPr>
          <w:rFonts w:ascii="宋体" w:hAnsi="宋体" w:eastAsia="宋体" w:cs="宋体"/>
          <w:kern w:val="0"/>
          <w:sz w:val="24"/>
          <w:szCs w:val="24"/>
        </w:rPr>
      </w:pPr>
      <w:r>
        <w:rPr>
          <w:rFonts w:ascii="宋体" w:hAnsi="宋体" w:eastAsia="宋体"/>
          <w:sz w:val="24"/>
          <w:szCs w:val="24"/>
        </w:rPr>
        <w:t>3</w:t>
      </w:r>
      <w:r>
        <w:rPr>
          <w:rFonts w:hint="eastAsia" w:ascii="宋体" w:hAnsi="宋体" w:eastAsia="宋体" w:cs="宋体"/>
          <w:kern w:val="0"/>
          <w:sz w:val="24"/>
          <w:szCs w:val="24"/>
        </w:rPr>
        <w:t>供货时间：供方需在接到成交通知书</w:t>
      </w:r>
      <w:r>
        <w:rPr>
          <w:rFonts w:ascii="宋体" w:hAnsi="宋体" w:eastAsia="宋体" w:cs="宋体"/>
          <w:kern w:val="0"/>
          <w:sz w:val="24"/>
          <w:szCs w:val="24"/>
        </w:rPr>
        <w:t>5</w:t>
      </w:r>
      <w:r>
        <w:rPr>
          <w:rFonts w:hint="eastAsia" w:ascii="宋体" w:hAnsi="宋体" w:eastAsia="宋体" w:cs="宋体"/>
          <w:kern w:val="0"/>
          <w:sz w:val="24"/>
          <w:szCs w:val="24"/>
        </w:rPr>
        <w:t>个工作日内签订供货合同。供货期间按我司通知分批</w:t>
      </w:r>
      <w:r>
        <w:rPr>
          <w:rFonts w:ascii="宋体" w:hAnsi="宋体" w:eastAsia="宋体" w:cs="宋体"/>
          <w:kern w:val="0"/>
          <w:sz w:val="24"/>
          <w:szCs w:val="24"/>
        </w:rPr>
        <w:t>次</w:t>
      </w:r>
      <w:r>
        <w:rPr>
          <w:rFonts w:hint="eastAsia" w:ascii="宋体" w:hAnsi="宋体" w:eastAsia="宋体" w:cs="宋体"/>
          <w:kern w:val="0"/>
          <w:sz w:val="24"/>
          <w:szCs w:val="24"/>
        </w:rPr>
        <w:t>运达指定煤库位置。</w:t>
      </w:r>
    </w:p>
    <w:p>
      <w:pPr>
        <w:spacing w:line="276" w:lineRule="auto"/>
        <w:rPr>
          <w:rFonts w:ascii="宋体" w:hAnsi="宋体" w:eastAsia="宋体" w:cs="Arial"/>
          <w:kern w:val="0"/>
          <w:sz w:val="24"/>
          <w:szCs w:val="24"/>
        </w:rPr>
      </w:pPr>
      <w:r>
        <w:rPr>
          <w:rFonts w:ascii="宋体" w:hAnsi="宋体" w:eastAsia="宋体"/>
          <w:sz w:val="24"/>
          <w:szCs w:val="24"/>
        </w:rPr>
        <w:t>4</w:t>
      </w:r>
      <w:r>
        <w:rPr>
          <w:rFonts w:hint="eastAsia" w:ascii="宋体" w:hAnsi="宋体" w:eastAsia="宋体" w:cs="宋体"/>
          <w:kern w:val="0"/>
          <w:sz w:val="24"/>
          <w:szCs w:val="24"/>
        </w:rPr>
        <w:t>供货地</w:t>
      </w:r>
      <w:r>
        <w:rPr>
          <w:rFonts w:ascii="宋体" w:hAnsi="宋体" w:eastAsia="宋体" w:cs="宋体"/>
          <w:kern w:val="0"/>
          <w:sz w:val="24"/>
          <w:szCs w:val="24"/>
        </w:rPr>
        <w:t>点：</w:t>
      </w:r>
      <w:r>
        <w:rPr>
          <w:rFonts w:hint="eastAsia" w:ascii="宋体" w:hAnsi="宋体" w:eastAsia="宋体" w:cs="Arial"/>
          <w:kern w:val="0"/>
          <w:sz w:val="24"/>
          <w:szCs w:val="24"/>
        </w:rPr>
        <w:t>厦门市同安区美禾三路399号。</w:t>
      </w:r>
    </w:p>
    <w:p>
      <w:pPr>
        <w:spacing w:line="276" w:lineRule="auto"/>
        <w:rPr>
          <w:rFonts w:ascii="宋体" w:hAnsi="宋体" w:eastAsia="宋体" w:cs="宋体"/>
          <w:kern w:val="0"/>
          <w:sz w:val="24"/>
          <w:szCs w:val="24"/>
        </w:rPr>
      </w:pPr>
      <w:r>
        <w:rPr>
          <w:rFonts w:ascii="宋体" w:hAnsi="宋体" w:eastAsia="宋体" w:cs="Arial"/>
          <w:kern w:val="0"/>
          <w:sz w:val="24"/>
          <w:szCs w:val="24"/>
        </w:rPr>
        <w:t>5</w:t>
      </w:r>
      <w:r>
        <w:rPr>
          <w:rFonts w:hint="eastAsia" w:ascii="宋体" w:hAnsi="宋体" w:eastAsia="宋体" w:cs="宋体"/>
          <w:kern w:val="0"/>
          <w:sz w:val="24"/>
          <w:szCs w:val="24"/>
        </w:rPr>
        <w:t>运输方式及要求：汽车运输，到厂后送达煤库指定位置，中途不得盘货、掺假。</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6热值变动</w:t>
      </w:r>
      <w:r>
        <w:rPr>
          <w:rFonts w:hint="eastAsia" w:ascii="宋体" w:hAnsi="宋体" w:eastAsia="宋体" w:cs="宋体"/>
          <w:kern w:val="0"/>
          <w:sz w:val="24"/>
          <w:szCs w:val="24"/>
        </w:rPr>
        <w:t>：</w:t>
      </w:r>
      <w:r>
        <w:rPr>
          <w:rFonts w:ascii="宋体" w:hAnsi="宋体" w:eastAsia="宋体" w:cs="宋体"/>
          <w:kern w:val="0"/>
          <w:sz w:val="24"/>
          <w:szCs w:val="24"/>
        </w:rPr>
        <w:t>我司</w:t>
      </w:r>
      <w:r>
        <w:rPr>
          <w:rFonts w:hint="eastAsia" w:ascii="宋体" w:hAnsi="宋体" w:eastAsia="宋体" w:cs="宋体"/>
          <w:kern w:val="0"/>
          <w:sz w:val="24"/>
          <w:szCs w:val="24"/>
        </w:rPr>
        <w:t>可</w:t>
      </w:r>
      <w:r>
        <w:rPr>
          <w:rFonts w:ascii="宋体" w:hAnsi="宋体" w:eastAsia="宋体" w:cs="宋体"/>
          <w:kern w:val="0"/>
          <w:sz w:val="24"/>
          <w:szCs w:val="24"/>
        </w:rPr>
        <w:t>根据生产需要</w:t>
      </w:r>
      <w:r>
        <w:rPr>
          <w:rFonts w:hint="eastAsia" w:ascii="宋体" w:hAnsi="宋体" w:eastAsia="宋体" w:cs="宋体"/>
          <w:kern w:val="0"/>
          <w:sz w:val="24"/>
          <w:szCs w:val="24"/>
        </w:rPr>
        <w:t>要求成交供应</w:t>
      </w:r>
      <w:r>
        <w:rPr>
          <w:rFonts w:ascii="宋体" w:hAnsi="宋体" w:eastAsia="宋体" w:cs="宋体"/>
          <w:kern w:val="0"/>
          <w:sz w:val="24"/>
          <w:szCs w:val="24"/>
        </w:rPr>
        <w:t>商</w:t>
      </w:r>
      <w:r>
        <w:rPr>
          <w:rFonts w:hint="eastAsia" w:ascii="宋体" w:hAnsi="宋体" w:eastAsia="宋体" w:cs="宋体"/>
          <w:kern w:val="0"/>
          <w:sz w:val="24"/>
          <w:szCs w:val="24"/>
        </w:rPr>
        <w:t>调整来</w:t>
      </w:r>
      <w:r>
        <w:rPr>
          <w:rFonts w:ascii="宋体" w:hAnsi="宋体" w:eastAsia="宋体" w:cs="宋体"/>
          <w:kern w:val="0"/>
          <w:sz w:val="24"/>
          <w:szCs w:val="24"/>
        </w:rPr>
        <w:t>煤的基准热值，</w:t>
      </w:r>
      <w:r>
        <w:rPr>
          <w:rFonts w:hint="eastAsia" w:ascii="宋体" w:hAnsi="宋体" w:eastAsia="宋体" w:cs="宋体"/>
          <w:kern w:val="0"/>
          <w:sz w:val="24"/>
          <w:szCs w:val="24"/>
        </w:rPr>
        <w:t>奖</w:t>
      </w:r>
      <w:r>
        <w:rPr>
          <w:rFonts w:ascii="宋体" w:hAnsi="宋体" w:eastAsia="宋体" w:cs="宋体"/>
          <w:kern w:val="0"/>
          <w:sz w:val="24"/>
          <w:szCs w:val="24"/>
        </w:rPr>
        <w:t>罚</w:t>
      </w:r>
      <w:r>
        <w:rPr>
          <w:rFonts w:hint="eastAsia" w:ascii="宋体" w:hAnsi="宋体" w:eastAsia="宋体" w:cs="宋体"/>
          <w:kern w:val="0"/>
          <w:sz w:val="24"/>
          <w:szCs w:val="24"/>
        </w:rPr>
        <w:t>基准做</w:t>
      </w:r>
      <w:r>
        <w:rPr>
          <w:rFonts w:ascii="宋体" w:hAnsi="宋体" w:eastAsia="宋体" w:cs="宋体"/>
          <w:kern w:val="0"/>
          <w:sz w:val="24"/>
          <w:szCs w:val="24"/>
        </w:rPr>
        <w:t>相应</w:t>
      </w:r>
      <w:r>
        <w:rPr>
          <w:rFonts w:hint="eastAsia" w:ascii="宋体" w:hAnsi="宋体" w:eastAsia="宋体" w:cs="宋体"/>
          <w:kern w:val="0"/>
          <w:sz w:val="24"/>
          <w:szCs w:val="24"/>
        </w:rPr>
        <w:t>平行</w:t>
      </w:r>
      <w:r>
        <w:rPr>
          <w:rFonts w:ascii="宋体" w:hAnsi="宋体" w:eastAsia="宋体" w:cs="宋体"/>
          <w:kern w:val="0"/>
          <w:sz w:val="24"/>
          <w:szCs w:val="24"/>
        </w:rPr>
        <w:t>调整，</w:t>
      </w:r>
      <w:r>
        <w:rPr>
          <w:rFonts w:hint="eastAsia" w:ascii="宋体" w:hAnsi="宋体" w:eastAsia="宋体" w:cs="宋体"/>
          <w:kern w:val="0"/>
          <w:sz w:val="24"/>
          <w:szCs w:val="24"/>
        </w:rPr>
        <w:t>但每大</w:t>
      </w:r>
      <w:r>
        <w:rPr>
          <w:rFonts w:ascii="宋体" w:hAnsi="宋体" w:eastAsia="宋体" w:cs="宋体"/>
          <w:kern w:val="0"/>
          <w:sz w:val="24"/>
          <w:szCs w:val="24"/>
        </w:rPr>
        <w:t>卡单价不变。</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成交供应商应能根据供应总量均衡安排每日进场量，同等条件下，有电力行业供应经验的优先。</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票据及验收：</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8.1</w:t>
      </w:r>
      <w:r>
        <w:rPr>
          <w:rFonts w:hint="eastAsia" w:ascii="宋体" w:hAnsi="宋体" w:eastAsia="宋体" w:cs="宋体"/>
          <w:kern w:val="0"/>
          <w:sz w:val="24"/>
          <w:szCs w:val="24"/>
        </w:rPr>
        <w:t>成交供应商须提供本单位开具的煤炭增值税专用发票，我司不接受通过其他单位代开的发票。</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8.2</w:t>
      </w:r>
      <w:r>
        <w:rPr>
          <w:rFonts w:hint="eastAsia" w:ascii="宋体" w:hAnsi="宋体" w:eastAsia="宋体" w:cs="宋体"/>
          <w:kern w:val="0"/>
          <w:sz w:val="24"/>
          <w:szCs w:val="24"/>
        </w:rPr>
        <w:t>数量验收：以我司同集热电事业部电子汽车衡的计量数据为准，并作为结算依据。</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8.3</w:t>
      </w:r>
      <w:r>
        <w:rPr>
          <w:rFonts w:hint="eastAsia" w:ascii="宋体" w:hAnsi="宋体" w:eastAsia="宋体" w:cs="宋体"/>
          <w:kern w:val="0"/>
          <w:sz w:val="24"/>
          <w:szCs w:val="24"/>
        </w:rPr>
        <w:t>质量验收：</w:t>
      </w:r>
    </w:p>
    <w:p>
      <w:pPr>
        <w:widowControl/>
        <w:spacing w:line="276" w:lineRule="auto"/>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（1）乙方提供给甲方的煤炭，甲方过磅后如发现恶意掺混煤矸石及其他杂质（水分、铁块、石块），有权进行扣重或者拒收，经警告后未做整改，甲方有权终止合同的执行，并追究相应的赔偿。</w:t>
      </w:r>
    </w:p>
    <w:p>
      <w:pPr>
        <w:widowControl/>
        <w:spacing w:line="276" w:lineRule="auto"/>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（2）煤炭验收指标按甲方的招标文件公告及本合同条款执行。</w:t>
      </w:r>
    </w:p>
    <w:p>
      <w:pPr>
        <w:widowControl/>
        <w:spacing w:line="276" w:lineRule="auto"/>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pPr>
        <w:widowControl/>
        <w:spacing w:line="276" w:lineRule="auto"/>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4）煤样化验由甲方化验室化验人员按照现有的设备进行化验，并以化验出来的结果作为结算依据，如乙方对化验数据有异议，可以在收到结果后三日内要求具有CMA认证的第三方质量检验机构进行复检，超过三日视为对结果无异议。复检收到基热值相差在70kcal/kg（含70kcal/kg）以内的，应按原化验结果结算；若相差超过70kcal/kg的，则按质量检验机构检验结果结算。其他指标复检结果在GB/T213-2003允许的标准误差内，以原化验数据为结算依据，复检结果在国家允许的标准误差外，以复检数据为结算依据；复检费用由责任方承担。</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结算：</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（1）、结算周期：累计进煤十天核算一次，或</w:t>
      </w:r>
      <w:r>
        <w:rPr>
          <w:rFonts w:hint="eastAsia" w:ascii="宋体" w:hAnsi="宋体" w:eastAsia="宋体" w:cs="宋体"/>
          <w:color w:val="FF0000"/>
          <w:kern w:val="0"/>
          <w:sz w:val="24"/>
          <w:szCs w:val="24"/>
        </w:rPr>
        <w:t>进煤不足十天</w:t>
      </w:r>
      <w:r>
        <w:rPr>
          <w:rFonts w:hint="eastAsia" w:ascii="宋体" w:hAnsi="宋体" w:eastAsia="宋体" w:cs="宋体"/>
          <w:kern w:val="0"/>
          <w:sz w:val="24"/>
          <w:szCs w:val="24"/>
        </w:rPr>
        <w:t>合同完成核算一次。</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color w:val="FF0000"/>
          <w:kern w:val="0"/>
          <w:sz w:val="24"/>
          <w:szCs w:val="24"/>
        </w:rPr>
        <w:t>结算办法：在基价的基础上实行以质论价、质价联动的计算方法</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付款方式：成交供应商应在我司完成煤炭验收合格并审核后将增值税</w:t>
      </w:r>
      <w:r>
        <w:rPr>
          <w:rFonts w:ascii="宋体" w:hAnsi="宋体" w:eastAsia="宋体" w:cs="宋体"/>
          <w:kern w:val="0"/>
          <w:sz w:val="24"/>
          <w:szCs w:val="24"/>
        </w:rPr>
        <w:t>专用</w:t>
      </w:r>
      <w:r>
        <w:rPr>
          <w:rFonts w:hint="eastAsia" w:ascii="宋体" w:hAnsi="宋体" w:eastAsia="宋体" w:cs="宋体"/>
          <w:kern w:val="0"/>
          <w:sz w:val="24"/>
          <w:szCs w:val="24"/>
        </w:rPr>
        <w:t>发票送至我司财务部，我司在收到发票后的2</w:t>
      </w:r>
      <w:r>
        <w:rPr>
          <w:rFonts w:ascii="宋体" w:hAnsi="宋体" w:eastAsia="宋体" w:cs="宋体"/>
          <w:kern w:val="0"/>
          <w:sz w:val="24"/>
          <w:szCs w:val="24"/>
        </w:rPr>
        <w:t>0个工作</w:t>
      </w:r>
      <w:r>
        <w:rPr>
          <w:rFonts w:hint="eastAsia" w:ascii="宋体" w:hAnsi="宋体" w:eastAsia="宋体" w:cs="宋体"/>
          <w:kern w:val="0"/>
          <w:sz w:val="24"/>
          <w:szCs w:val="24"/>
        </w:rPr>
        <w:t>日内付清货款。</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违约责任：</w:t>
      </w:r>
    </w:p>
    <w:p>
      <w:pPr>
        <w:widowControl/>
        <w:spacing w:line="276" w:lineRule="auto"/>
        <w:rPr>
          <w:rFonts w:ascii="宋体" w:hAnsi="宋体" w:eastAsia="宋体" w:cs="宋体"/>
          <w:kern w:val="0"/>
          <w:sz w:val="24"/>
          <w:szCs w:val="24"/>
        </w:rPr>
      </w:pPr>
      <w:r>
        <w:rPr>
          <w:rFonts w:ascii="宋体" w:hAnsi="宋体" w:eastAsia="宋体" w:cs="宋体"/>
          <w:kern w:val="0"/>
          <w:sz w:val="24"/>
          <w:szCs w:val="24"/>
        </w:rPr>
        <w:t>11.1</w:t>
      </w:r>
      <w:r>
        <w:rPr>
          <w:rFonts w:hint="eastAsia" w:ascii="宋体" w:hAnsi="宋体" w:eastAsia="宋体" w:cs="宋体"/>
          <w:kern w:val="0"/>
          <w:sz w:val="24"/>
          <w:szCs w:val="24"/>
        </w:rPr>
        <w:t>我司将根据煤炭质量的奖惩标准进行验收，不符合质量要求的，我司有权拒收；若存在以次充好、弄虚作假的</w:t>
      </w:r>
      <w:r>
        <w:rPr>
          <w:rFonts w:hint="eastAsia" w:ascii="宋体" w:hAnsi="宋体" w:eastAsia="宋体" w:cs="宋体"/>
          <w:kern w:val="0"/>
          <w:sz w:val="24"/>
          <w:szCs w:val="24"/>
          <w:highlight w:val="yellow"/>
        </w:rPr>
        <w:t>，我司将暂停</w:t>
      </w:r>
      <w:r>
        <w:rPr>
          <w:rFonts w:hint="eastAsia" w:ascii="宋体" w:hAnsi="宋体" w:eastAsia="宋体" w:cs="宋体"/>
          <w:kern w:val="0"/>
          <w:sz w:val="24"/>
          <w:szCs w:val="24"/>
          <w:highlight w:val="yellow"/>
          <w:lang w:val="en-US" w:eastAsia="zh-CN"/>
        </w:rPr>
        <w:t>其一年采购资格</w:t>
      </w:r>
      <w:r>
        <w:rPr>
          <w:rFonts w:hint="eastAsia" w:ascii="宋体" w:hAnsi="宋体" w:eastAsia="宋体" w:cs="宋体"/>
          <w:kern w:val="0"/>
          <w:sz w:val="24"/>
          <w:szCs w:val="24"/>
        </w:rPr>
        <w:t>。</w:t>
      </w:r>
    </w:p>
    <w:p>
      <w:pPr>
        <w:widowControl/>
        <w:spacing w:line="276" w:lineRule="auto"/>
        <w:rPr>
          <w:rFonts w:asciiTheme="minorEastAsia" w:hAnsiTheme="minorEastAsia" w:cstheme="minorEastAsia"/>
          <w:sz w:val="24"/>
        </w:rPr>
      </w:pPr>
      <w:r>
        <w:rPr>
          <w:rFonts w:hint="eastAsia" w:asciiTheme="minorEastAsia" w:hAnsiTheme="minorEastAsia" w:cstheme="minorEastAsia"/>
          <w:kern w:val="0"/>
          <w:sz w:val="24"/>
          <w:szCs w:val="24"/>
        </w:rPr>
        <w:t>11.2成交供应商</w:t>
      </w:r>
      <w:r>
        <w:rPr>
          <w:rFonts w:hint="eastAsia" w:asciiTheme="minorEastAsia" w:hAnsiTheme="minorEastAsia" w:cstheme="minorEastAsia"/>
          <w:sz w:val="24"/>
        </w:rPr>
        <w:t>在合同期限内按合同约定的供应数量完成供货。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pPr>
        <w:widowControl/>
        <w:spacing w:line="276" w:lineRule="auto"/>
        <w:rPr>
          <w:rFonts w:ascii="宋体" w:hAnsi="宋体"/>
          <w:sz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bookmarkStart w:id="27" w:name="_Toc3940_WPSOffice_Level1"/>
      <w:bookmarkStart w:id="28" w:name="_Toc15618_WPSOffice_Level1"/>
      <w:bookmarkStart w:id="29" w:name="_Toc8176"/>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sz w:val="24"/>
          <w:szCs w:val="24"/>
        </w:rPr>
        <w:t xml:space="preserve"> </w:t>
      </w: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合同主要条款</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snapToGrid w:val="0"/>
        <w:jc w:val="center"/>
        <w:outlineLvl w:val="1"/>
        <w:rPr>
          <w:rFonts w:ascii="黑体" w:hAnsi="宋体" w:eastAsia="黑体"/>
          <w:b/>
          <w:bCs/>
          <w:sz w:val="44"/>
          <w:szCs w:val="44"/>
        </w:rPr>
      </w:pPr>
      <w:r>
        <w:rPr>
          <w:rFonts w:hint="eastAsia" w:ascii="黑体" w:hAnsi="宋体" w:eastAsia="黑体"/>
          <w:b/>
          <w:bCs/>
          <w:sz w:val="44"/>
          <w:szCs w:val="44"/>
        </w:rPr>
        <w:t>煤炭供应合同</w:t>
      </w:r>
    </w:p>
    <w:p>
      <w:pPr>
        <w:snapToGrid w:val="0"/>
        <w:ind w:right="840" w:firstLine="1050" w:firstLineChars="500"/>
        <w:rPr>
          <w:rFonts w:ascii="宋体" w:hAnsi="宋体"/>
        </w:rPr>
      </w:pPr>
    </w:p>
    <w:p>
      <w:pPr>
        <w:snapToGrid w:val="0"/>
        <w:ind w:right="446" w:firstLine="5760" w:firstLineChars="2400"/>
        <w:rPr>
          <w:rFonts w:ascii="宋体" w:hAnsi="宋体"/>
          <w:sz w:val="24"/>
        </w:rPr>
      </w:pPr>
    </w:p>
    <w:p>
      <w:pPr>
        <w:snapToGrid w:val="0"/>
        <w:spacing w:line="500" w:lineRule="exact"/>
        <w:rPr>
          <w:rFonts w:ascii="仿宋_GB2312" w:hAnsi="宋体" w:eastAsia="仿宋_GB2312"/>
          <w:sz w:val="24"/>
        </w:rPr>
      </w:pPr>
      <w:r>
        <w:rPr>
          <w:rFonts w:hint="eastAsia" w:ascii="仿宋_GB2312" w:hAnsi="宋体" w:eastAsia="仿宋_GB2312"/>
          <w:sz w:val="24"/>
        </w:rPr>
        <w:t>甲方：厦门同集热</w:t>
      </w:r>
      <w:r>
        <w:rPr>
          <w:rFonts w:hint="eastAsia" w:ascii="仿宋_GB2312" w:hAnsi="宋体" w:eastAsia="仿宋_GB2312" w:cs="宋体"/>
          <w:sz w:val="24"/>
        </w:rPr>
        <w:t>电有限公司               合同编号：</w:t>
      </w:r>
    </w:p>
    <w:p>
      <w:pPr>
        <w:snapToGrid w:val="0"/>
        <w:spacing w:line="500" w:lineRule="exact"/>
        <w:rPr>
          <w:rFonts w:hint="eastAsia" w:ascii="仿宋_GB2312" w:hAnsi="宋体" w:eastAsia="仿宋_GB2312"/>
          <w:sz w:val="24"/>
        </w:rPr>
      </w:pPr>
      <w:r>
        <w:rPr>
          <w:rFonts w:hint="eastAsia" w:ascii="仿宋_GB2312" w:hAnsi="宋体" w:eastAsia="仿宋_GB2312"/>
          <w:sz w:val="24"/>
        </w:rPr>
        <w:t xml:space="preserve">乙方：  </w:t>
      </w:r>
      <w:r>
        <w:rPr>
          <w:rFonts w:hint="eastAsia" w:ascii="仿宋_GB2312" w:hAnsi="宋体" w:eastAsia="仿宋_GB2312" w:cs="宋体"/>
          <w:sz w:val="24"/>
        </w:rPr>
        <w:t xml:space="preserve">                                 </w:t>
      </w:r>
      <w:r>
        <w:rPr>
          <w:rFonts w:hint="eastAsia" w:ascii="仿宋_GB2312" w:hAnsi="宋体" w:eastAsia="仿宋_GB2312"/>
          <w:sz w:val="24"/>
        </w:rPr>
        <w:t>签约时间：   年  月  日</w:t>
      </w:r>
    </w:p>
    <w:p>
      <w:pPr>
        <w:pStyle w:val="11"/>
        <w:ind w:left="0" w:firstLine="5040" w:firstLineChars="2100"/>
        <w:rPr>
          <w:rFonts w:hint="default" w:eastAsia="仿宋_GB2312"/>
          <w:u w:val="none"/>
          <w:lang w:val="en-US" w:eastAsia="zh-CN"/>
        </w:rPr>
      </w:pPr>
      <w:r>
        <w:rPr>
          <w:rFonts w:hint="eastAsia" w:ascii="仿宋_GB2312" w:hAnsi="宋体" w:eastAsia="仿宋_GB2312"/>
          <w:sz w:val="24"/>
          <w:u w:val="none"/>
        </w:rPr>
        <w:t>签约地点：厦门市同安区</w:t>
      </w:r>
    </w:p>
    <w:p>
      <w:pPr>
        <w:snapToGrid w:val="0"/>
        <w:spacing w:line="500" w:lineRule="exact"/>
        <w:rPr>
          <w:rFonts w:ascii="仿宋_GB2312" w:hAnsi="宋体" w:eastAsia="仿宋_GB2312"/>
          <w:sz w:val="24"/>
        </w:rPr>
      </w:pPr>
      <w:r>
        <w:rPr>
          <w:rFonts w:hint="eastAsia" w:ascii="仿宋_GB2312" w:hAnsi="宋体" w:eastAsia="仿宋_GB2312"/>
          <w:sz w:val="24"/>
        </w:rPr>
        <w:t>　　　　甲、乙双方经充分协商，本着自愿及平等互利的原则，订立本合同，以供双方共同遵守。</w:t>
      </w:r>
    </w:p>
    <w:p>
      <w:pPr>
        <w:snapToGrid w:val="0"/>
        <w:spacing w:line="500" w:lineRule="exact"/>
        <w:rPr>
          <w:rFonts w:ascii="仿宋_GB2312" w:hAnsi="宋体" w:eastAsia="仿宋_GB2312"/>
          <w:b/>
          <w:sz w:val="24"/>
        </w:rPr>
      </w:pPr>
      <w:r>
        <w:rPr>
          <w:rFonts w:hint="eastAsia" w:ascii="仿宋_GB2312" w:hAnsi="宋体" w:eastAsia="仿宋_GB2312"/>
          <w:b/>
          <w:sz w:val="24"/>
        </w:rPr>
        <w:t xml:space="preserve">第一条 名称、数量、价格 </w:t>
      </w:r>
    </w:p>
    <w:p>
      <w:pPr>
        <w:snapToGrid w:val="0"/>
        <w:spacing w:line="500" w:lineRule="exact"/>
        <w:ind w:firstLine="420"/>
        <w:rPr>
          <w:rFonts w:ascii="仿宋_GB2312" w:hAnsi="宋体" w:eastAsia="仿宋_GB2312"/>
          <w:sz w:val="24"/>
        </w:rPr>
      </w:pPr>
      <w:r>
        <w:rPr>
          <w:rFonts w:hint="eastAsia" w:ascii="仿宋_GB2312" w:hAnsi="宋体" w:eastAsia="仿宋_GB2312"/>
          <w:sz w:val="24"/>
        </w:rPr>
        <w:t>1、产品名称：无烟煤；</w:t>
      </w:r>
    </w:p>
    <w:p>
      <w:pPr>
        <w:snapToGrid w:val="0"/>
        <w:spacing w:line="500" w:lineRule="exact"/>
        <w:ind w:firstLine="420"/>
        <w:rPr>
          <w:rFonts w:ascii="仿宋_GB2312" w:eastAsia="仿宋_GB2312"/>
          <w:sz w:val="24"/>
          <w:u w:val="single"/>
        </w:rPr>
      </w:pPr>
      <w:r>
        <w:rPr>
          <w:rFonts w:hint="eastAsia" w:ascii="仿宋_GB2312" w:hAnsi="宋体" w:eastAsia="仿宋_GB2312"/>
          <w:sz w:val="24"/>
        </w:rPr>
        <w:t>2、</w:t>
      </w:r>
      <w:r>
        <w:rPr>
          <w:rFonts w:hint="eastAsia" w:ascii="仿宋_GB2312" w:eastAsia="仿宋_GB2312"/>
          <w:sz w:val="24"/>
        </w:rPr>
        <w:t>数量：经甲、乙双方共同确认，甲方向乙方采购煤炭1000吨。</w:t>
      </w:r>
    </w:p>
    <w:p>
      <w:pPr>
        <w:spacing w:line="500" w:lineRule="exact"/>
        <w:ind w:left="639" w:leftChars="190" w:hanging="240" w:hangingChars="100"/>
        <w:rPr>
          <w:rFonts w:ascii="仿宋_GB2312" w:eastAsia="仿宋_GB2312"/>
          <w:sz w:val="24"/>
        </w:rPr>
      </w:pPr>
      <w:r>
        <w:rPr>
          <w:rFonts w:hint="eastAsia" w:ascii="仿宋_GB2312" w:eastAsia="仿宋_GB2312"/>
          <w:sz w:val="24"/>
        </w:rPr>
        <w:t>3、总价及基础单价：总价为</w:t>
      </w:r>
      <w:r>
        <w:rPr>
          <w:rFonts w:hint="eastAsia" w:ascii="仿宋_GB2312" w:eastAsia="仿宋_GB2312"/>
          <w:sz w:val="24"/>
          <w:u w:val="single"/>
        </w:rPr>
        <w:t xml:space="preserve">     </w:t>
      </w:r>
      <w:r>
        <w:rPr>
          <w:rFonts w:hint="eastAsia" w:ascii="仿宋_GB2312" w:eastAsia="仿宋_GB2312"/>
          <w:sz w:val="24"/>
        </w:rPr>
        <w:t>元；一票含税到厂价为</w:t>
      </w:r>
      <w:r>
        <w:rPr>
          <w:rFonts w:hint="eastAsia" w:ascii="仿宋_GB2312" w:eastAsia="仿宋_GB2312"/>
          <w:sz w:val="24"/>
          <w:u w:val="single"/>
        </w:rPr>
        <w:t xml:space="preserve">   </w:t>
      </w:r>
      <w:r>
        <w:rPr>
          <w:rFonts w:hint="eastAsia" w:ascii="仿宋_GB2312" w:eastAsia="仿宋_GB2312"/>
          <w:sz w:val="24"/>
        </w:rPr>
        <w:t>元/吨（</w:t>
      </w:r>
      <w:r>
        <w:rPr>
          <w:rFonts w:hint="eastAsia" w:ascii="仿宋_GB2312" w:eastAsia="仿宋_GB2312"/>
          <w:sz w:val="24"/>
          <w:u w:val="single"/>
        </w:rPr>
        <w:t xml:space="preserve">    </w:t>
      </w:r>
      <w:r>
        <w:rPr>
          <w:rFonts w:hint="eastAsia" w:ascii="仿宋_GB2312" w:eastAsia="仿宋_GB2312"/>
          <w:sz w:val="24"/>
        </w:rPr>
        <w:t>元/大卡,含13</w:t>
      </w:r>
      <w:r>
        <w:rPr>
          <w:rFonts w:ascii="仿宋_GB2312" w:eastAsia="仿宋_GB2312"/>
          <w:sz w:val="24"/>
        </w:rPr>
        <w:t>%增值税</w:t>
      </w:r>
      <w:r>
        <w:rPr>
          <w:rFonts w:hint="eastAsia" w:ascii="仿宋_GB2312" w:eastAsia="仿宋_GB2312"/>
          <w:sz w:val="24"/>
        </w:rPr>
        <w:t>），若税率调整，单价须作相应调整。</w:t>
      </w:r>
    </w:p>
    <w:p>
      <w:pPr>
        <w:spacing w:line="500" w:lineRule="exact"/>
        <w:ind w:left="639" w:leftChars="190" w:hanging="240" w:hangingChars="100"/>
        <w:rPr>
          <w:rFonts w:ascii="仿宋_GB2312" w:eastAsia="仿宋_GB2312"/>
          <w:sz w:val="24"/>
        </w:rPr>
      </w:pPr>
      <w:r>
        <w:rPr>
          <w:rFonts w:hint="eastAsia" w:ascii="仿宋_GB2312" w:eastAsia="仿宋_GB2312"/>
          <w:sz w:val="24"/>
        </w:rPr>
        <w:t>4、履约金：乙方原投标保证金人民币壹万元整转为合同履约金。履约金在乙方履行完合同后五个工作日内退还；若乙方未能履约，将按乙方供应煤炭数量比例扣减该履约金，并按违约责任条款收取相应的违约金。</w:t>
      </w:r>
    </w:p>
    <w:p>
      <w:pPr>
        <w:snapToGrid w:val="0"/>
        <w:spacing w:line="500" w:lineRule="exact"/>
        <w:rPr>
          <w:rFonts w:ascii="仿宋_GB2312" w:hAnsi="宋体" w:eastAsia="仿宋_GB2312"/>
          <w:sz w:val="24"/>
        </w:rPr>
      </w:pPr>
      <w:r>
        <w:rPr>
          <w:rFonts w:hint="eastAsia" w:ascii="仿宋_GB2312" w:hAnsi="宋体" w:eastAsia="仿宋_GB2312"/>
          <w:b/>
          <w:sz w:val="24"/>
        </w:rPr>
        <w:t xml:space="preserve">第二条 交货时间、地点： </w:t>
      </w:r>
    </w:p>
    <w:p>
      <w:pPr>
        <w:snapToGrid w:val="0"/>
        <w:spacing w:line="500" w:lineRule="exact"/>
        <w:rPr>
          <w:rFonts w:ascii="仿宋_GB2312" w:hAnsi="宋体" w:eastAsia="仿宋_GB2312"/>
          <w:sz w:val="24"/>
          <w:u w:val="single"/>
        </w:rPr>
      </w:pPr>
      <w:r>
        <w:rPr>
          <w:rFonts w:hint="eastAsia" w:ascii="仿宋_GB2312" w:hAnsi="宋体" w:eastAsia="仿宋_GB2312"/>
          <w:sz w:val="24"/>
        </w:rPr>
        <w:t>　　1.合同期限及供货时间：合同有效期自</w:t>
      </w:r>
      <w:r>
        <w:rPr>
          <w:rFonts w:hint="eastAsia" w:ascii="仿宋_GB2312" w:hAnsi="宋体" w:eastAsia="仿宋_GB2312"/>
          <w:sz w:val="24"/>
          <w:u w:val="single"/>
        </w:rPr>
        <w:t>合同签订</w:t>
      </w:r>
      <w:r>
        <w:rPr>
          <w:rFonts w:ascii="仿宋_GB2312" w:hAnsi="宋体" w:eastAsia="仿宋_GB2312"/>
          <w:sz w:val="24"/>
          <w:u w:val="single"/>
        </w:rPr>
        <w:t>之日起</w:t>
      </w:r>
      <w:r>
        <w:rPr>
          <w:rFonts w:hint="eastAsia" w:ascii="仿宋_GB2312" w:hAnsi="宋体" w:eastAsia="仿宋_GB2312"/>
          <w:sz w:val="24"/>
          <w:u w:val="single"/>
        </w:rPr>
        <w:t>至</w:t>
      </w:r>
      <w:r>
        <w:rPr>
          <w:rFonts w:ascii="仿宋_GB2312" w:hAnsi="宋体" w:eastAsia="仿宋_GB2312"/>
          <w:sz w:val="24"/>
          <w:u w:val="single"/>
        </w:rPr>
        <w:t>202</w:t>
      </w:r>
      <w:r>
        <w:rPr>
          <w:rFonts w:hint="eastAsia" w:ascii="仿宋_GB2312" w:hAnsi="宋体" w:eastAsia="仿宋_GB2312"/>
          <w:sz w:val="24"/>
          <w:u w:val="single"/>
        </w:rPr>
        <w:t>5</w:t>
      </w:r>
      <w:r>
        <w:rPr>
          <w:rFonts w:hint="eastAsia" w:ascii="仿宋_GB2312" w:hAnsi="宋体" w:eastAsia="仿宋_GB2312"/>
          <w:sz w:val="24"/>
        </w:rPr>
        <w:t>年</w:t>
      </w:r>
      <w:r>
        <w:rPr>
          <w:rFonts w:ascii="仿宋_GB2312" w:hAnsi="宋体" w:eastAsia="仿宋_GB2312"/>
          <w:sz w:val="24"/>
          <w:u w:val="single"/>
        </w:rPr>
        <w:t>8</w:t>
      </w:r>
      <w:r>
        <w:rPr>
          <w:rFonts w:hint="eastAsia" w:ascii="仿宋_GB2312" w:hAnsi="宋体" w:eastAsia="仿宋_GB2312"/>
          <w:sz w:val="24"/>
        </w:rPr>
        <w:t>月</w:t>
      </w:r>
      <w:r>
        <w:rPr>
          <w:rFonts w:ascii="仿宋_GB2312" w:hAnsi="宋体" w:eastAsia="仿宋_GB2312"/>
          <w:sz w:val="24"/>
          <w:u w:val="single"/>
        </w:rPr>
        <w:t>31</w:t>
      </w:r>
      <w:r>
        <w:rPr>
          <w:rFonts w:hint="eastAsia" w:ascii="仿宋_GB2312" w:hAnsi="宋体" w:eastAsia="仿宋_GB2312"/>
          <w:sz w:val="24"/>
        </w:rPr>
        <w:t>日，甲方自合同签订之日起7日内通知乙方进煤，乙方须在收到通知后</w:t>
      </w:r>
      <w:r>
        <w:rPr>
          <w:rFonts w:ascii="仿宋_GB2312" w:hAnsi="宋体" w:eastAsia="仿宋_GB2312"/>
          <w:sz w:val="24"/>
        </w:rPr>
        <w:t>按甲方要求</w:t>
      </w:r>
      <w:r>
        <w:rPr>
          <w:rFonts w:hint="eastAsia" w:ascii="仿宋_GB2312" w:hAnsi="宋体" w:eastAsia="仿宋_GB2312"/>
          <w:sz w:val="24"/>
        </w:rPr>
        <w:t>均匀向甲方供货。</w:t>
      </w:r>
    </w:p>
    <w:p>
      <w:pPr>
        <w:snapToGrid w:val="0"/>
        <w:spacing w:line="500" w:lineRule="exact"/>
        <w:ind w:firstLine="480" w:firstLineChars="200"/>
        <w:rPr>
          <w:rFonts w:ascii="仿宋_GB2312" w:hAnsi="宋体" w:eastAsia="仿宋_GB2312"/>
          <w:sz w:val="24"/>
        </w:rPr>
      </w:pPr>
      <w:r>
        <w:rPr>
          <w:rFonts w:hint="eastAsia" w:ascii="仿宋_GB2312" w:hAnsi="宋体" w:eastAsia="仿宋_GB2312"/>
          <w:sz w:val="24"/>
        </w:rPr>
        <w:t>2.交货地点：厦门市同安区美禾三路399号</w:t>
      </w:r>
      <w:r>
        <w:rPr>
          <w:rFonts w:hint="eastAsia" w:ascii="仿宋_GB2312" w:eastAsia="仿宋_GB2312"/>
          <w:sz w:val="24"/>
        </w:rPr>
        <w:t>甲方煤炭仓库</w:t>
      </w:r>
      <w:r>
        <w:rPr>
          <w:rFonts w:hint="eastAsia" w:ascii="仿宋_GB2312" w:hAnsi="宋体" w:eastAsia="仿宋_GB2312"/>
          <w:sz w:val="24"/>
        </w:rPr>
        <w:t xml:space="preserve">。 </w:t>
      </w:r>
    </w:p>
    <w:p>
      <w:pPr>
        <w:spacing w:line="500" w:lineRule="exact"/>
        <w:rPr>
          <w:rFonts w:ascii="仿宋_GB2312" w:eastAsia="仿宋_GB2312"/>
          <w:b/>
          <w:sz w:val="24"/>
        </w:rPr>
      </w:pPr>
      <w:r>
        <w:rPr>
          <w:rFonts w:hint="eastAsia" w:ascii="仿宋_GB2312" w:hAnsi="宋体" w:eastAsia="仿宋_GB2312"/>
          <w:b/>
          <w:sz w:val="24"/>
        </w:rPr>
        <w:t xml:space="preserve">第三条  </w:t>
      </w:r>
      <w:r>
        <w:rPr>
          <w:rFonts w:hint="eastAsia" w:ascii="仿宋_GB2312" w:eastAsia="仿宋_GB2312"/>
          <w:b/>
          <w:sz w:val="24"/>
        </w:rPr>
        <w:t>验收方式</w:t>
      </w:r>
    </w:p>
    <w:p>
      <w:pPr>
        <w:spacing w:line="500" w:lineRule="exact"/>
        <w:ind w:firstLine="240" w:firstLineChars="100"/>
        <w:rPr>
          <w:rFonts w:ascii="仿宋_GB2312" w:eastAsia="仿宋_GB2312"/>
          <w:sz w:val="24"/>
        </w:rPr>
      </w:pPr>
      <w:r>
        <w:rPr>
          <w:rFonts w:hint="eastAsia" w:ascii="仿宋_GB2312" w:eastAsia="仿宋_GB2312"/>
          <w:sz w:val="24"/>
        </w:rPr>
        <w:t>1、数量验收：</w:t>
      </w:r>
      <w:r>
        <w:rPr>
          <w:rFonts w:hint="eastAsia" w:ascii="仿宋_GB2312" w:hAnsi="宋体" w:eastAsia="仿宋_GB2312"/>
          <w:sz w:val="24"/>
        </w:rPr>
        <w:t>以甲方厂内电子汽车衡的计量数据为准，双方共同监磅，并作为结算依据。如乙方需要，可以委托第三方进行过磅校验，费用由乙方负责。</w:t>
      </w:r>
    </w:p>
    <w:p>
      <w:pPr>
        <w:spacing w:line="500" w:lineRule="exact"/>
        <w:ind w:firstLine="240" w:firstLineChars="100"/>
        <w:rPr>
          <w:rFonts w:ascii="仿宋_GB2312" w:eastAsia="仿宋_GB2312"/>
          <w:sz w:val="24"/>
        </w:rPr>
      </w:pPr>
      <w:r>
        <w:rPr>
          <w:rFonts w:hint="eastAsia" w:ascii="仿宋_GB2312" w:eastAsia="仿宋_GB2312"/>
          <w:sz w:val="24"/>
        </w:rPr>
        <w:t>2、质量验收：</w:t>
      </w:r>
    </w:p>
    <w:p>
      <w:pPr>
        <w:spacing w:line="500" w:lineRule="exact"/>
        <w:ind w:firstLine="240" w:firstLineChars="100"/>
        <w:rPr>
          <w:rFonts w:ascii="仿宋_GB2312" w:eastAsia="仿宋_GB2312"/>
          <w:sz w:val="24"/>
        </w:rPr>
      </w:pPr>
      <w:r>
        <w:rPr>
          <w:rFonts w:hint="eastAsia" w:ascii="仿宋_GB2312" w:eastAsia="仿宋_GB2312"/>
          <w:sz w:val="24"/>
        </w:rPr>
        <w:t>（1）乙方提供给甲方的煤炭，甲方过磅后如发现恶意掺混煤矸石及其他杂质（水分、铁块、石块），有权进行扣重或者拒收，经警告后未做整改，甲方有权终止合同的执行，并追究相应的赔偿。</w:t>
      </w:r>
    </w:p>
    <w:p>
      <w:pPr>
        <w:spacing w:line="500" w:lineRule="exact"/>
        <w:ind w:firstLine="240" w:firstLineChars="100"/>
        <w:rPr>
          <w:rFonts w:ascii="仿宋_GB2312" w:eastAsia="仿宋_GB2312"/>
          <w:sz w:val="24"/>
        </w:rPr>
      </w:pPr>
      <w:r>
        <w:rPr>
          <w:rFonts w:hint="eastAsia" w:ascii="仿宋_GB2312" w:eastAsia="仿宋_GB2312"/>
          <w:sz w:val="24"/>
        </w:rPr>
        <w:t>（2）煤炭验收指标按甲方的招标文件公告及本合同条款执行。</w:t>
      </w:r>
    </w:p>
    <w:p>
      <w:pPr>
        <w:spacing w:line="500" w:lineRule="exact"/>
        <w:ind w:firstLine="240" w:firstLineChars="100"/>
        <w:rPr>
          <w:rFonts w:ascii="仿宋_GB2312" w:eastAsia="仿宋_GB2312"/>
          <w:sz w:val="24"/>
        </w:rPr>
      </w:pPr>
      <w:r>
        <w:rPr>
          <w:rFonts w:hint="eastAsia" w:ascii="仿宋_GB2312" w:eastAsia="仿宋_GB2312"/>
          <w:sz w:val="24"/>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pPr>
        <w:spacing w:line="500" w:lineRule="exact"/>
        <w:ind w:firstLine="240" w:firstLineChars="1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）煤样化验由甲方化验室化验人员按照现有的设备进行化验，并以化验出来的结果作为结算依据，如乙方对化验数据有异议，可以在收到结果后三日内要求具有C</w:t>
      </w:r>
      <w:r>
        <w:rPr>
          <w:rFonts w:ascii="仿宋_GB2312" w:eastAsia="仿宋_GB2312"/>
          <w:sz w:val="24"/>
        </w:rPr>
        <w:t>MA认证的第三方</w:t>
      </w:r>
      <w:r>
        <w:rPr>
          <w:rFonts w:hint="eastAsia" w:ascii="仿宋_GB2312" w:eastAsia="仿宋_GB2312"/>
          <w:sz w:val="24"/>
        </w:rPr>
        <w:t>质量</w:t>
      </w:r>
      <w:r>
        <w:rPr>
          <w:rFonts w:ascii="仿宋_GB2312" w:eastAsia="仿宋_GB2312"/>
          <w:sz w:val="24"/>
        </w:rPr>
        <w:t>检验机构进行</w:t>
      </w:r>
      <w:r>
        <w:rPr>
          <w:rFonts w:hint="eastAsia" w:ascii="仿宋_GB2312" w:eastAsia="仿宋_GB2312"/>
          <w:sz w:val="24"/>
        </w:rPr>
        <w:t>复检，超过三日视为对结果无异议。复检收到基热值相差在70kc</w:t>
      </w:r>
      <w:r>
        <w:rPr>
          <w:rFonts w:ascii="仿宋_GB2312" w:eastAsia="仿宋_GB2312"/>
          <w:sz w:val="24"/>
        </w:rPr>
        <w:t>al</w:t>
      </w:r>
      <w:r>
        <w:rPr>
          <w:rFonts w:hint="eastAsia" w:ascii="仿宋_GB2312" w:eastAsia="仿宋_GB2312"/>
          <w:sz w:val="24"/>
        </w:rPr>
        <w:t>/kg（含70kc</w:t>
      </w:r>
      <w:r>
        <w:rPr>
          <w:rFonts w:ascii="仿宋_GB2312" w:eastAsia="仿宋_GB2312"/>
          <w:sz w:val="24"/>
        </w:rPr>
        <w:t>al</w:t>
      </w:r>
      <w:r>
        <w:rPr>
          <w:rFonts w:hint="eastAsia" w:ascii="仿宋_GB2312" w:eastAsia="仿宋_GB2312"/>
          <w:sz w:val="24"/>
        </w:rPr>
        <w:t>/kg）以内的，应按原化验结果结算；若相差超过70kc</w:t>
      </w:r>
      <w:r>
        <w:rPr>
          <w:rFonts w:ascii="仿宋_GB2312" w:eastAsia="仿宋_GB2312"/>
          <w:sz w:val="24"/>
        </w:rPr>
        <w:t>al</w:t>
      </w:r>
      <w:r>
        <w:rPr>
          <w:rFonts w:hint="eastAsia" w:ascii="仿宋_GB2312" w:eastAsia="仿宋_GB2312"/>
          <w:sz w:val="24"/>
        </w:rPr>
        <w:t>/kg的，则按质量检验机构检验结果结算。其他指标复检结果在GB/T213-2003允许的标准误差内，以原化验数据为结算依据，复检结果在国家允许的标准误差外，以复检数据为结算依据；复检费用由责任方承担。</w:t>
      </w:r>
    </w:p>
    <w:p>
      <w:pPr>
        <w:spacing w:line="500" w:lineRule="exact"/>
        <w:ind w:firstLine="241" w:firstLineChars="100"/>
        <w:rPr>
          <w:rFonts w:ascii="仿宋_GB2312" w:eastAsia="仿宋_GB2312"/>
          <w:sz w:val="24"/>
        </w:rPr>
      </w:pPr>
      <w:r>
        <w:rPr>
          <w:rFonts w:hint="eastAsia" w:ascii="仿宋_GB2312" w:eastAsia="仿宋_GB2312"/>
          <w:b/>
          <w:sz w:val="24"/>
        </w:rPr>
        <w:t xml:space="preserve">第四条  </w:t>
      </w:r>
      <w:r>
        <w:rPr>
          <w:rFonts w:hint="eastAsia" w:ascii="仿宋_GB2312" w:hAnsi="宋体" w:eastAsia="仿宋_GB2312"/>
          <w:b/>
          <w:sz w:val="24"/>
        </w:rPr>
        <w:t>质量标准（见表一）</w:t>
      </w:r>
    </w:p>
    <w:p>
      <w:pPr>
        <w:snapToGrid w:val="0"/>
        <w:spacing w:line="360" w:lineRule="auto"/>
        <w:rPr>
          <w:rFonts w:ascii="仿宋_GB2312" w:hAnsi="宋体" w:eastAsia="仿宋_GB2312"/>
          <w:sz w:val="24"/>
        </w:rPr>
      </w:pPr>
      <w:r>
        <w:rPr>
          <w:rFonts w:hint="eastAsia" w:ascii="仿宋_GB2312" w:hAnsi="宋体" w:eastAsia="仿宋_GB2312"/>
          <w:sz w:val="24"/>
        </w:rPr>
        <w:t>表一：</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34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sz w:val="24"/>
              </w:rPr>
            </w:pPr>
            <w:r>
              <w:rPr>
                <w:rFonts w:hint="eastAsia" w:ascii="仿宋_GB2312" w:eastAsia="仿宋_GB2312"/>
                <w:sz w:val="24"/>
              </w:rPr>
              <w:t>序号</w:t>
            </w:r>
          </w:p>
        </w:tc>
        <w:tc>
          <w:tcPr>
            <w:tcW w:w="2880" w:type="dxa"/>
            <w:vAlign w:val="center"/>
          </w:tcPr>
          <w:p>
            <w:pPr>
              <w:jc w:val="center"/>
              <w:rPr>
                <w:rFonts w:ascii="仿宋_GB2312" w:eastAsia="仿宋_GB2312"/>
                <w:sz w:val="24"/>
              </w:rPr>
            </w:pPr>
            <w:r>
              <w:rPr>
                <w:rFonts w:hint="eastAsia" w:ascii="仿宋_GB2312" w:eastAsia="仿宋_GB2312"/>
                <w:sz w:val="24"/>
              </w:rPr>
              <w:t>质量项目</w:t>
            </w:r>
          </w:p>
        </w:tc>
        <w:tc>
          <w:tcPr>
            <w:tcW w:w="2340" w:type="dxa"/>
            <w:vAlign w:val="center"/>
          </w:tcPr>
          <w:p>
            <w:pPr>
              <w:jc w:val="center"/>
              <w:rPr>
                <w:rFonts w:ascii="仿宋_GB2312" w:eastAsia="仿宋_GB2312"/>
                <w:sz w:val="24"/>
              </w:rPr>
            </w:pPr>
            <w:r>
              <w:rPr>
                <w:rFonts w:hint="eastAsia" w:ascii="仿宋_GB2312" w:eastAsia="仿宋_GB2312"/>
                <w:sz w:val="24"/>
              </w:rPr>
              <w:t>标准</w:t>
            </w:r>
          </w:p>
        </w:tc>
        <w:tc>
          <w:tcPr>
            <w:tcW w:w="2474"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sz w:val="24"/>
              </w:rPr>
            </w:pPr>
            <w:r>
              <w:rPr>
                <w:rFonts w:hint="eastAsia" w:ascii="仿宋_GB2312" w:eastAsia="仿宋_GB2312"/>
                <w:sz w:val="24"/>
              </w:rPr>
              <w:t>1</w:t>
            </w:r>
          </w:p>
        </w:tc>
        <w:tc>
          <w:tcPr>
            <w:tcW w:w="2880" w:type="dxa"/>
            <w:vAlign w:val="center"/>
          </w:tcPr>
          <w:p>
            <w:pPr>
              <w:rPr>
                <w:rFonts w:ascii="仿宋_GB2312" w:eastAsia="仿宋_GB2312"/>
                <w:sz w:val="24"/>
              </w:rPr>
            </w:pPr>
            <w:r>
              <w:rPr>
                <w:rFonts w:hint="eastAsia" w:ascii="仿宋_GB2312" w:eastAsia="仿宋_GB2312"/>
                <w:sz w:val="24"/>
              </w:rPr>
              <w:t>收到基低位热量</w:t>
            </w:r>
          </w:p>
        </w:tc>
        <w:tc>
          <w:tcPr>
            <w:tcW w:w="2340" w:type="dxa"/>
          </w:tcPr>
          <w:p>
            <w:pPr>
              <w:jc w:val="center"/>
              <w:rPr>
                <w:rFonts w:ascii="仿宋_GB2312" w:eastAsia="仿宋_GB2312"/>
                <w:sz w:val="24"/>
              </w:rPr>
            </w:pPr>
            <w:r>
              <w:rPr>
                <w:rFonts w:hint="eastAsia" w:ascii="宋体" w:hAnsi="宋体" w:cs="宋体"/>
                <w:sz w:val="24"/>
                <w:szCs w:val="24"/>
              </w:rPr>
              <w:t>4800±200 cal/g</w:t>
            </w:r>
          </w:p>
        </w:tc>
        <w:tc>
          <w:tcPr>
            <w:tcW w:w="2474" w:type="dxa"/>
            <w:vMerge w:val="restart"/>
            <w:vAlign w:val="center"/>
          </w:tcPr>
          <w:p>
            <w:pPr>
              <w:jc w:val="center"/>
              <w:rPr>
                <w:rFonts w:ascii="仿宋_GB2312" w:eastAsia="仿宋_GB2312"/>
                <w:sz w:val="24"/>
              </w:rPr>
            </w:pPr>
            <w:r>
              <w:rPr>
                <w:rFonts w:hint="eastAsia" w:ascii="仿宋_GB2312" w:eastAsia="仿宋_GB2312"/>
                <w:sz w:val="24"/>
              </w:rPr>
              <w:t>考核项</w:t>
            </w:r>
          </w:p>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sz w:val="24"/>
              </w:rPr>
            </w:pPr>
            <w:r>
              <w:rPr>
                <w:rFonts w:hint="eastAsia" w:ascii="仿宋_GB2312" w:eastAsia="仿宋_GB2312"/>
                <w:sz w:val="24"/>
              </w:rPr>
              <w:t>2</w:t>
            </w:r>
          </w:p>
        </w:tc>
        <w:tc>
          <w:tcPr>
            <w:tcW w:w="2880" w:type="dxa"/>
            <w:vAlign w:val="center"/>
          </w:tcPr>
          <w:p>
            <w:pPr>
              <w:rPr>
                <w:rFonts w:ascii="仿宋_GB2312" w:eastAsia="仿宋_GB2312"/>
                <w:sz w:val="24"/>
              </w:rPr>
            </w:pPr>
            <w:r>
              <w:rPr>
                <w:rFonts w:hint="eastAsia" w:ascii="仿宋_GB2312" w:eastAsia="仿宋_GB2312"/>
                <w:sz w:val="24"/>
              </w:rPr>
              <w:t>全硫分</w:t>
            </w:r>
          </w:p>
        </w:tc>
        <w:tc>
          <w:tcPr>
            <w:tcW w:w="2340" w:type="dxa"/>
          </w:tcPr>
          <w:p>
            <w:pPr>
              <w:jc w:val="center"/>
              <w:rPr>
                <w:rFonts w:ascii="仿宋_GB2312" w:eastAsia="仿宋_GB2312"/>
                <w:sz w:val="24"/>
              </w:rPr>
            </w:pPr>
            <w:r>
              <w:rPr>
                <w:rFonts w:hint="eastAsia" w:ascii="宋体" w:hAnsi="宋体" w:cs="宋体"/>
                <w:sz w:val="24"/>
                <w:szCs w:val="24"/>
              </w:rPr>
              <w:t>S≤0.5%</w:t>
            </w:r>
          </w:p>
        </w:tc>
        <w:tc>
          <w:tcPr>
            <w:tcW w:w="2474"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sz w:val="24"/>
              </w:rPr>
            </w:pPr>
            <w:r>
              <w:rPr>
                <w:rFonts w:hint="eastAsia" w:ascii="仿宋_GB2312" w:eastAsia="仿宋_GB2312"/>
                <w:sz w:val="24"/>
              </w:rPr>
              <w:t>3</w:t>
            </w:r>
          </w:p>
        </w:tc>
        <w:tc>
          <w:tcPr>
            <w:tcW w:w="2880" w:type="dxa"/>
            <w:vAlign w:val="center"/>
          </w:tcPr>
          <w:p>
            <w:pPr>
              <w:rPr>
                <w:rFonts w:ascii="仿宋_GB2312" w:eastAsia="仿宋_GB2312"/>
                <w:sz w:val="24"/>
              </w:rPr>
            </w:pPr>
            <w:r>
              <w:rPr>
                <w:rFonts w:hint="eastAsia" w:ascii="仿宋_GB2312" w:eastAsia="仿宋_GB2312"/>
                <w:sz w:val="24"/>
              </w:rPr>
              <w:t>收到基水分</w:t>
            </w:r>
          </w:p>
        </w:tc>
        <w:tc>
          <w:tcPr>
            <w:tcW w:w="2340" w:type="dxa"/>
          </w:tcPr>
          <w:p>
            <w:pPr>
              <w:jc w:val="center"/>
              <w:rPr>
                <w:rFonts w:ascii="仿宋_GB2312" w:eastAsia="仿宋_GB2312"/>
                <w:sz w:val="24"/>
              </w:rPr>
            </w:pPr>
            <w:r>
              <w:rPr>
                <w:rFonts w:hint="eastAsia"/>
              </w:rPr>
              <w:t>≤8%</w:t>
            </w:r>
          </w:p>
        </w:tc>
        <w:tc>
          <w:tcPr>
            <w:tcW w:w="2474"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sz w:val="24"/>
              </w:rPr>
            </w:pPr>
            <w:r>
              <w:rPr>
                <w:rFonts w:hint="eastAsia" w:ascii="仿宋_GB2312" w:eastAsia="仿宋_GB2312"/>
                <w:sz w:val="24"/>
              </w:rPr>
              <w:t>4</w:t>
            </w:r>
          </w:p>
        </w:tc>
        <w:tc>
          <w:tcPr>
            <w:tcW w:w="2880" w:type="dxa"/>
            <w:vAlign w:val="center"/>
          </w:tcPr>
          <w:p>
            <w:pPr>
              <w:rPr>
                <w:rFonts w:ascii="仿宋_GB2312" w:eastAsia="仿宋_GB2312"/>
                <w:sz w:val="24"/>
              </w:rPr>
            </w:pPr>
            <w:r>
              <w:rPr>
                <w:rFonts w:hint="eastAsia" w:ascii="仿宋_GB2312" w:eastAsia="仿宋_GB2312"/>
                <w:sz w:val="24"/>
              </w:rPr>
              <w:t>空干基挥发分</w:t>
            </w:r>
          </w:p>
        </w:tc>
        <w:tc>
          <w:tcPr>
            <w:tcW w:w="2340" w:type="dxa"/>
          </w:tcPr>
          <w:p>
            <w:pPr>
              <w:jc w:val="center"/>
              <w:rPr>
                <w:rFonts w:ascii="仿宋_GB2312" w:hAnsi="宋体" w:eastAsia="仿宋_GB2312"/>
                <w:sz w:val="24"/>
              </w:rPr>
            </w:pPr>
            <w:r>
              <w:rPr>
                <w:rFonts w:hint="eastAsia"/>
              </w:rPr>
              <w:t>＜6%</w:t>
            </w:r>
          </w:p>
        </w:tc>
        <w:tc>
          <w:tcPr>
            <w:tcW w:w="247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sz w:val="24"/>
              </w:rPr>
            </w:pPr>
            <w:r>
              <w:rPr>
                <w:rFonts w:hint="eastAsia" w:ascii="仿宋_GB2312" w:eastAsia="仿宋_GB2312"/>
                <w:sz w:val="24"/>
              </w:rPr>
              <w:t>5</w:t>
            </w:r>
          </w:p>
        </w:tc>
        <w:tc>
          <w:tcPr>
            <w:tcW w:w="2880" w:type="dxa"/>
            <w:vAlign w:val="center"/>
          </w:tcPr>
          <w:p>
            <w:pPr>
              <w:rPr>
                <w:rFonts w:ascii="仿宋_GB2312" w:eastAsia="仿宋_GB2312"/>
                <w:sz w:val="24"/>
              </w:rPr>
            </w:pPr>
            <w:r>
              <w:rPr>
                <w:rFonts w:hint="eastAsia" w:ascii="仿宋_GB2312" w:eastAsia="仿宋_GB2312"/>
                <w:sz w:val="24"/>
              </w:rPr>
              <w:t>空干基灰分</w:t>
            </w:r>
          </w:p>
        </w:tc>
        <w:tc>
          <w:tcPr>
            <w:tcW w:w="2340" w:type="dxa"/>
          </w:tcPr>
          <w:p>
            <w:pPr>
              <w:jc w:val="center"/>
              <w:rPr>
                <w:rFonts w:ascii="仿宋_GB2312" w:eastAsia="仿宋_GB2312"/>
                <w:sz w:val="24"/>
              </w:rPr>
            </w:pPr>
            <w:r>
              <w:rPr>
                <w:rFonts w:hint="eastAsia"/>
              </w:rPr>
              <w:t>≤30%</w:t>
            </w:r>
          </w:p>
        </w:tc>
        <w:tc>
          <w:tcPr>
            <w:tcW w:w="2474" w:type="dxa"/>
            <w:vMerge w:val="restart"/>
            <w:vAlign w:val="center"/>
          </w:tcPr>
          <w:p>
            <w:pPr>
              <w:jc w:val="center"/>
              <w:rPr>
                <w:rFonts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sz w:val="24"/>
              </w:rPr>
            </w:pPr>
            <w:r>
              <w:rPr>
                <w:rFonts w:hint="eastAsia" w:ascii="仿宋_GB2312" w:eastAsia="仿宋_GB2312"/>
                <w:sz w:val="24"/>
              </w:rPr>
              <w:t>6</w:t>
            </w:r>
          </w:p>
        </w:tc>
        <w:tc>
          <w:tcPr>
            <w:tcW w:w="2880" w:type="dxa"/>
            <w:vAlign w:val="center"/>
          </w:tcPr>
          <w:p>
            <w:pPr>
              <w:rPr>
                <w:rFonts w:ascii="仿宋_GB2312" w:eastAsia="仿宋_GB2312"/>
                <w:sz w:val="24"/>
              </w:rPr>
            </w:pPr>
            <w:r>
              <w:rPr>
                <w:rFonts w:hint="eastAsia" w:ascii="仿宋_GB2312" w:eastAsia="仿宋_GB2312"/>
                <w:sz w:val="24"/>
              </w:rPr>
              <w:t>机械杂质</w:t>
            </w:r>
          </w:p>
        </w:tc>
        <w:tc>
          <w:tcPr>
            <w:tcW w:w="4814" w:type="dxa"/>
            <w:gridSpan w:val="2"/>
            <w:vAlign w:val="center"/>
          </w:tcPr>
          <w:p>
            <w:pPr>
              <w:jc w:val="center"/>
              <w:rPr>
                <w:rFonts w:ascii="仿宋_GB2312" w:eastAsia="仿宋_GB2312"/>
                <w:sz w:val="24"/>
              </w:rPr>
            </w:pPr>
            <w:r>
              <w:rPr>
                <w:rFonts w:hint="eastAsia" w:ascii="仿宋_GB2312" w:eastAsia="仿宋_GB2312"/>
                <w:sz w:val="24"/>
              </w:rPr>
              <w:t>无大块石块，木块，铁块、无杂质</w:t>
            </w:r>
          </w:p>
        </w:tc>
      </w:tr>
    </w:tbl>
    <w:p>
      <w:pPr>
        <w:spacing w:line="500" w:lineRule="exact"/>
        <w:rPr>
          <w:rFonts w:ascii="仿宋_GB2312" w:eastAsia="仿宋_GB2312"/>
          <w:b/>
          <w:sz w:val="24"/>
        </w:rPr>
      </w:pPr>
      <w:r>
        <w:rPr>
          <w:rFonts w:hint="eastAsia" w:ascii="仿宋_GB2312" w:eastAsia="仿宋_GB2312"/>
          <w:b/>
          <w:sz w:val="24"/>
        </w:rPr>
        <w:t>第五条  结算方式</w:t>
      </w:r>
    </w:p>
    <w:p>
      <w:pPr>
        <w:spacing w:line="500" w:lineRule="exact"/>
        <w:ind w:left="240"/>
        <w:rPr>
          <w:rFonts w:ascii="仿宋_GB2312" w:eastAsia="仿宋_GB2312"/>
          <w:sz w:val="24"/>
        </w:rPr>
      </w:pPr>
      <w:r>
        <w:rPr>
          <w:rFonts w:hint="eastAsia" w:ascii="仿宋_GB2312" w:eastAsia="仿宋_GB2312"/>
          <w:sz w:val="24"/>
        </w:rPr>
        <w:t>1、结算周期：累计进煤十天核算一次，或进煤不足十天合同完成核算一次。</w:t>
      </w:r>
    </w:p>
    <w:p>
      <w:pPr>
        <w:spacing w:line="500" w:lineRule="exact"/>
        <w:ind w:firstLine="240" w:firstLineChars="100"/>
        <w:rPr>
          <w:rFonts w:ascii="仿宋_GB2312" w:eastAsia="仿宋_GB2312"/>
          <w:sz w:val="24"/>
        </w:rPr>
      </w:pPr>
      <w:r>
        <w:rPr>
          <w:rFonts w:hint="eastAsia" w:ascii="仿宋_GB2312" w:eastAsia="仿宋_GB2312"/>
          <w:sz w:val="24"/>
        </w:rPr>
        <w:t>2、结算办法：在基价的基础上实行以质论价、质价联动的计算方法，质量考核浮动单价表见表二。</w:t>
      </w:r>
    </w:p>
    <w:p>
      <w:pPr>
        <w:spacing w:line="500" w:lineRule="exact"/>
        <w:ind w:firstLine="240" w:firstLineChars="100"/>
        <w:rPr>
          <w:rFonts w:ascii="仿宋_GB2312" w:eastAsia="仿宋_GB2312"/>
          <w:sz w:val="24"/>
        </w:rPr>
      </w:pPr>
      <w:r>
        <w:rPr>
          <w:rFonts w:hint="eastAsia" w:ascii="仿宋_GB2312" w:eastAsia="仿宋_GB2312"/>
          <w:sz w:val="24"/>
        </w:rPr>
        <w:t>3、若在执行合同期间，乙方当月无法完成的，经甲方书面同意可将合同量顺延至下月，若市场价格下降则应按下降后价格执行结算，价格上升时则按原合同价执行。</w:t>
      </w:r>
    </w:p>
    <w:p>
      <w:pPr>
        <w:spacing w:line="500" w:lineRule="exact"/>
        <w:ind w:firstLine="240" w:firstLineChars="100"/>
        <w:rPr>
          <w:rFonts w:ascii="仿宋_GB2312" w:eastAsia="仿宋_GB2312"/>
          <w:sz w:val="24"/>
        </w:rPr>
      </w:pPr>
      <w:r>
        <w:rPr>
          <w:rFonts w:hint="eastAsia" w:ascii="仿宋_GB2312" w:eastAsia="仿宋_GB2312"/>
          <w:sz w:val="24"/>
        </w:rPr>
        <w:t>表二：煤质考核结算表</w:t>
      </w:r>
    </w:p>
    <w:tbl>
      <w:tblPr>
        <w:tblStyle w:val="12"/>
        <w:tblpPr w:leftFromText="180" w:rightFromText="180" w:vertAnchor="text" w:horzAnchor="page" w:tblpX="1867" w:tblpY="241"/>
        <w:tblOverlap w:val="never"/>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324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8" w:type="dxa"/>
            <w:vAlign w:val="center"/>
          </w:tcPr>
          <w:p>
            <w:pPr>
              <w:spacing w:line="500" w:lineRule="exact"/>
              <w:jc w:val="left"/>
              <w:rPr>
                <w:rFonts w:ascii="宋体" w:hAnsi="宋体"/>
                <w:sz w:val="24"/>
              </w:rPr>
            </w:pPr>
            <w:r>
              <w:rPr>
                <w:rFonts w:hint="eastAsia" w:ascii="仿宋_GB2312" w:eastAsia="仿宋_GB2312"/>
                <w:sz w:val="24"/>
              </w:rPr>
              <w:t xml:space="preserve"> </w:t>
            </w:r>
            <w:r>
              <w:rPr>
                <w:rFonts w:hint="eastAsia" w:ascii="宋体" w:hAnsi="宋体"/>
                <w:sz w:val="24"/>
              </w:rPr>
              <w:t>质量项目</w:t>
            </w:r>
          </w:p>
        </w:tc>
        <w:tc>
          <w:tcPr>
            <w:tcW w:w="3060" w:type="dxa"/>
            <w:vAlign w:val="center"/>
          </w:tcPr>
          <w:p>
            <w:pPr>
              <w:spacing w:line="500" w:lineRule="exact"/>
              <w:jc w:val="left"/>
              <w:rPr>
                <w:rFonts w:ascii="宋体" w:hAnsi="宋体"/>
                <w:sz w:val="24"/>
              </w:rPr>
            </w:pPr>
            <w:r>
              <w:rPr>
                <w:rFonts w:hint="eastAsia" w:ascii="宋体" w:hAnsi="宋体"/>
                <w:sz w:val="24"/>
              </w:rPr>
              <w:t>标准</w:t>
            </w:r>
          </w:p>
        </w:tc>
        <w:tc>
          <w:tcPr>
            <w:tcW w:w="3240" w:type="dxa"/>
            <w:vAlign w:val="center"/>
          </w:tcPr>
          <w:p>
            <w:pPr>
              <w:spacing w:line="500" w:lineRule="exact"/>
              <w:jc w:val="left"/>
              <w:rPr>
                <w:rFonts w:ascii="宋体" w:hAnsi="宋体"/>
                <w:sz w:val="24"/>
              </w:rPr>
            </w:pPr>
            <w:r>
              <w:rPr>
                <w:rFonts w:hint="eastAsia" w:ascii="宋体" w:hAnsi="宋体"/>
                <w:sz w:val="24"/>
              </w:rPr>
              <w:t>结算价</w:t>
            </w:r>
          </w:p>
        </w:tc>
        <w:tc>
          <w:tcPr>
            <w:tcW w:w="956" w:type="dxa"/>
            <w:vAlign w:val="center"/>
          </w:tcPr>
          <w:p>
            <w:pPr>
              <w:spacing w:line="500" w:lineRule="exact"/>
              <w:jc w:val="left"/>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368" w:type="dxa"/>
            <w:vMerge w:val="restart"/>
            <w:vAlign w:val="center"/>
          </w:tcPr>
          <w:p>
            <w:pPr>
              <w:jc w:val="center"/>
              <w:rPr>
                <w:rFonts w:ascii="宋体" w:hAnsi="宋体"/>
                <w:sz w:val="24"/>
              </w:rPr>
            </w:pPr>
            <w:r>
              <w:rPr>
                <w:rFonts w:hint="eastAsia" w:ascii="宋体" w:hAnsi="宋体"/>
                <w:sz w:val="24"/>
              </w:rPr>
              <w:t>单样热值（大卡/千克）</w:t>
            </w:r>
          </w:p>
        </w:tc>
        <w:tc>
          <w:tcPr>
            <w:tcW w:w="3060" w:type="dxa"/>
            <w:vAlign w:val="center"/>
          </w:tcPr>
          <w:p>
            <w:pPr>
              <w:jc w:val="center"/>
              <w:rPr>
                <w:rFonts w:hint="default" w:ascii="宋体" w:hAnsi="宋体" w:eastAsiaTheme="minorEastAsia"/>
                <w:sz w:val="24"/>
                <w:lang w:val="en-US" w:eastAsia="zh-CN"/>
              </w:rPr>
            </w:pPr>
            <w:r>
              <w:rPr>
                <w:rFonts w:hint="eastAsia" w:ascii="宋体" w:hAnsi="宋体"/>
                <w:sz w:val="24"/>
              </w:rPr>
              <w:t>单样热值＞</w:t>
            </w:r>
            <w:r>
              <w:rPr>
                <w:rFonts w:hint="eastAsia" w:ascii="宋体" w:hAnsi="宋体"/>
                <w:sz w:val="24"/>
                <w:lang w:val="en-US" w:eastAsia="zh-CN"/>
              </w:rPr>
              <w:t>5000</w:t>
            </w:r>
          </w:p>
        </w:tc>
        <w:tc>
          <w:tcPr>
            <w:tcW w:w="3240" w:type="dxa"/>
            <w:vAlign w:val="center"/>
          </w:tcPr>
          <w:p>
            <w:pPr>
              <w:jc w:val="center"/>
              <w:rPr>
                <w:rFonts w:ascii="宋体" w:hAnsi="宋体"/>
                <w:sz w:val="24"/>
              </w:rPr>
            </w:pPr>
            <w:r>
              <w:rPr>
                <w:rFonts w:hint="eastAsia" w:ascii="宋体" w:hAnsi="宋体"/>
                <w:sz w:val="24"/>
              </w:rPr>
              <w:t>(5</w:t>
            </w:r>
            <w:r>
              <w:rPr>
                <w:rFonts w:hint="eastAsia" w:ascii="宋体" w:hAnsi="宋体"/>
                <w:sz w:val="24"/>
                <w:lang w:val="en-US" w:eastAsia="zh-CN"/>
              </w:rPr>
              <w:t>000</w:t>
            </w:r>
            <w:r>
              <w:rPr>
                <w:rFonts w:hint="eastAsia" w:ascii="宋体" w:hAnsi="宋体"/>
                <w:sz w:val="24"/>
              </w:rPr>
              <w:t>/</w:t>
            </w:r>
            <w:r>
              <w:rPr>
                <w:rFonts w:hint="eastAsia" w:ascii="宋体" w:hAnsi="宋体"/>
                <w:sz w:val="24"/>
                <w:lang w:val="en-US" w:eastAsia="zh-CN"/>
              </w:rPr>
              <w:t>4800</w:t>
            </w:r>
            <w:r>
              <w:rPr>
                <w:rFonts w:hint="eastAsia" w:ascii="宋体" w:hAnsi="宋体"/>
                <w:sz w:val="24"/>
              </w:rPr>
              <w:t>)×合同基价；</w:t>
            </w:r>
          </w:p>
        </w:tc>
        <w:tc>
          <w:tcPr>
            <w:tcW w:w="956" w:type="dxa"/>
            <w:vMerge w:val="restart"/>
            <w:vAlign w:val="center"/>
          </w:tcPr>
          <w:p>
            <w:pPr>
              <w:rPr>
                <w:rFonts w:ascii="宋体" w:hAnsi="宋体"/>
                <w:sz w:val="24"/>
              </w:rPr>
            </w:pPr>
            <w:r>
              <w:rPr>
                <w:rFonts w:hint="eastAsia" w:ascii="宋体" w:hAnsi="宋体"/>
                <w:sz w:val="24"/>
              </w:rPr>
              <w:t>考核指标中的水分、硫分、热值均以单样为依据，价款均为含税价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8" w:type="dxa"/>
            <w:vMerge w:val="continue"/>
            <w:vAlign w:val="center"/>
          </w:tcPr>
          <w:p>
            <w:pPr>
              <w:jc w:val="center"/>
              <w:rPr>
                <w:rFonts w:ascii="宋体" w:hAnsi="宋体"/>
                <w:sz w:val="24"/>
              </w:rPr>
            </w:pPr>
          </w:p>
        </w:tc>
        <w:tc>
          <w:tcPr>
            <w:tcW w:w="3060" w:type="dxa"/>
          </w:tcPr>
          <w:p>
            <w:pPr>
              <w:jc w:val="center"/>
              <w:rPr>
                <w:rFonts w:ascii="宋体" w:hAnsi="宋体"/>
                <w:sz w:val="24"/>
              </w:rPr>
            </w:pPr>
            <w:r>
              <w:rPr>
                <w:rFonts w:hint="eastAsia" w:ascii="宋体" w:hAnsi="宋体"/>
                <w:sz w:val="24"/>
              </w:rPr>
              <w:t>4</w:t>
            </w:r>
            <w:r>
              <w:rPr>
                <w:rFonts w:hint="eastAsia" w:ascii="宋体" w:hAnsi="宋体"/>
                <w:sz w:val="24"/>
                <w:lang w:val="en-US" w:eastAsia="zh-CN"/>
              </w:rPr>
              <w:t>6</w:t>
            </w:r>
            <w:r>
              <w:rPr>
                <w:rFonts w:hint="eastAsia" w:ascii="宋体" w:hAnsi="宋体"/>
                <w:sz w:val="24"/>
              </w:rPr>
              <w:t>00≤单样热值≤5</w:t>
            </w:r>
            <w:r>
              <w:rPr>
                <w:rFonts w:hint="eastAsia" w:ascii="宋体" w:hAnsi="宋体"/>
                <w:sz w:val="24"/>
                <w:lang w:val="en-US" w:eastAsia="zh-CN"/>
              </w:rPr>
              <w:t>0</w:t>
            </w:r>
            <w:r>
              <w:rPr>
                <w:rFonts w:hint="eastAsia" w:ascii="宋体" w:hAnsi="宋体"/>
                <w:sz w:val="24"/>
              </w:rPr>
              <w:t>00</w:t>
            </w:r>
          </w:p>
        </w:tc>
        <w:tc>
          <w:tcPr>
            <w:tcW w:w="3240" w:type="dxa"/>
          </w:tcPr>
          <w:p>
            <w:pPr>
              <w:jc w:val="center"/>
              <w:rPr>
                <w:rFonts w:ascii="宋体" w:hAnsi="宋体"/>
                <w:sz w:val="24"/>
              </w:rPr>
            </w:pPr>
            <w:r>
              <w:rPr>
                <w:rFonts w:hint="eastAsia" w:ascii="宋体" w:hAnsi="宋体"/>
                <w:sz w:val="24"/>
              </w:rPr>
              <w:t>（单样热值/</w:t>
            </w:r>
            <w:r>
              <w:rPr>
                <w:rFonts w:hint="eastAsia" w:ascii="宋体" w:hAnsi="宋体"/>
                <w:sz w:val="24"/>
                <w:lang w:val="en-US" w:eastAsia="zh-CN"/>
              </w:rPr>
              <w:t>4800</w:t>
            </w:r>
            <w:r>
              <w:rPr>
                <w:rFonts w:hint="eastAsia" w:ascii="宋体" w:hAnsi="宋体"/>
                <w:sz w:val="24"/>
              </w:rPr>
              <w:t>）×合同基价</w:t>
            </w:r>
          </w:p>
        </w:tc>
        <w:tc>
          <w:tcPr>
            <w:tcW w:w="956" w:type="dxa"/>
            <w:vMerge w:val="continue"/>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pPr>
              <w:jc w:val="center"/>
              <w:rPr>
                <w:rFonts w:ascii="宋体" w:hAnsi="宋体"/>
                <w:sz w:val="24"/>
              </w:rPr>
            </w:pPr>
          </w:p>
        </w:tc>
        <w:tc>
          <w:tcPr>
            <w:tcW w:w="3060" w:type="dxa"/>
          </w:tcPr>
          <w:p>
            <w:pPr>
              <w:jc w:val="center"/>
              <w:rPr>
                <w:rFonts w:ascii="宋体" w:hAnsi="宋体"/>
                <w:sz w:val="24"/>
              </w:rPr>
            </w:pPr>
            <w:r>
              <w:rPr>
                <w:rFonts w:hint="eastAsia" w:ascii="宋体" w:hAnsi="宋体"/>
                <w:sz w:val="24"/>
              </w:rPr>
              <w:t>单样热值＜4</w:t>
            </w:r>
            <w:r>
              <w:rPr>
                <w:rFonts w:hint="eastAsia" w:ascii="宋体" w:hAnsi="宋体"/>
                <w:sz w:val="24"/>
                <w:lang w:val="en-US" w:eastAsia="zh-CN"/>
              </w:rPr>
              <w:t>6</w:t>
            </w:r>
            <w:r>
              <w:rPr>
                <w:rFonts w:hint="eastAsia" w:ascii="宋体" w:hAnsi="宋体"/>
                <w:sz w:val="24"/>
              </w:rPr>
              <w:t>00</w:t>
            </w:r>
          </w:p>
        </w:tc>
        <w:tc>
          <w:tcPr>
            <w:tcW w:w="3240" w:type="dxa"/>
          </w:tcPr>
          <w:p>
            <w:pPr>
              <w:jc w:val="center"/>
              <w:rPr>
                <w:rFonts w:ascii="宋体" w:hAnsi="宋体"/>
                <w:sz w:val="24"/>
              </w:rPr>
            </w:pPr>
            <w:r>
              <w:rPr>
                <w:rFonts w:hint="eastAsia" w:ascii="宋体" w:hAnsi="宋体"/>
                <w:sz w:val="24"/>
              </w:rPr>
              <w:t>(单样热值/</w:t>
            </w:r>
            <w:r>
              <w:rPr>
                <w:rFonts w:hint="eastAsia" w:ascii="宋体" w:hAnsi="宋体"/>
                <w:sz w:val="24"/>
                <w:lang w:val="en-US" w:eastAsia="zh-CN"/>
              </w:rPr>
              <w:t>48</w:t>
            </w:r>
            <w:r>
              <w:rPr>
                <w:rFonts w:hint="eastAsia" w:ascii="宋体" w:hAnsi="宋体"/>
                <w:sz w:val="24"/>
              </w:rPr>
              <w:t>00)×合同基价另加扣20元/吨</w:t>
            </w:r>
          </w:p>
        </w:tc>
        <w:tc>
          <w:tcPr>
            <w:tcW w:w="95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pPr>
              <w:jc w:val="center"/>
              <w:rPr>
                <w:rFonts w:ascii="宋体" w:hAnsi="宋体"/>
                <w:sz w:val="24"/>
              </w:rPr>
            </w:pPr>
          </w:p>
        </w:tc>
        <w:tc>
          <w:tcPr>
            <w:tcW w:w="3060" w:type="dxa"/>
            <w:vAlign w:val="center"/>
          </w:tcPr>
          <w:p>
            <w:pPr>
              <w:jc w:val="center"/>
              <w:rPr>
                <w:rFonts w:ascii="宋体" w:hAnsi="宋体"/>
                <w:sz w:val="24"/>
              </w:rPr>
            </w:pPr>
            <w:r>
              <w:rPr>
                <w:rFonts w:hint="eastAsia" w:ascii="宋体" w:hAnsi="宋体"/>
                <w:sz w:val="24"/>
              </w:rPr>
              <w:t>单样热值＜</w:t>
            </w:r>
            <w:r>
              <w:rPr>
                <w:rFonts w:ascii="宋体" w:hAnsi="宋体"/>
                <w:sz w:val="24"/>
              </w:rPr>
              <w:t>4</w:t>
            </w:r>
            <w:r>
              <w:rPr>
                <w:rFonts w:hint="eastAsia" w:ascii="宋体" w:hAnsi="宋体"/>
                <w:sz w:val="24"/>
                <w:lang w:val="en-US" w:eastAsia="zh-CN"/>
              </w:rPr>
              <w:t>4</w:t>
            </w:r>
            <w:r>
              <w:rPr>
                <w:rFonts w:hint="eastAsia" w:ascii="宋体" w:hAnsi="宋体"/>
                <w:sz w:val="24"/>
              </w:rPr>
              <w:t>00</w:t>
            </w:r>
          </w:p>
        </w:tc>
        <w:tc>
          <w:tcPr>
            <w:tcW w:w="3240" w:type="dxa"/>
          </w:tcPr>
          <w:p>
            <w:pPr>
              <w:jc w:val="center"/>
              <w:rPr>
                <w:rFonts w:ascii="宋体" w:hAnsi="宋体"/>
                <w:sz w:val="24"/>
              </w:rPr>
            </w:pPr>
            <w:r>
              <w:rPr>
                <w:rFonts w:hint="eastAsia" w:ascii="宋体" w:hAnsi="宋体"/>
                <w:sz w:val="24"/>
              </w:rPr>
              <w:t>(单样热值/</w:t>
            </w:r>
            <w:r>
              <w:rPr>
                <w:rFonts w:hint="eastAsia" w:ascii="宋体" w:hAnsi="宋体"/>
                <w:sz w:val="24"/>
                <w:lang w:val="en-US" w:eastAsia="zh-CN"/>
              </w:rPr>
              <w:t>48</w:t>
            </w:r>
            <w:r>
              <w:rPr>
                <w:rFonts w:hint="eastAsia" w:ascii="宋体" w:hAnsi="宋体"/>
                <w:sz w:val="24"/>
              </w:rPr>
              <w:t>00)×合同基价另加扣</w:t>
            </w:r>
            <w:r>
              <w:rPr>
                <w:rFonts w:ascii="宋体" w:hAnsi="宋体"/>
                <w:sz w:val="24"/>
              </w:rPr>
              <w:t>4</w:t>
            </w:r>
            <w:r>
              <w:rPr>
                <w:rFonts w:hint="eastAsia" w:ascii="宋体" w:hAnsi="宋体"/>
                <w:sz w:val="24"/>
              </w:rPr>
              <w:t>0元/吨</w:t>
            </w:r>
          </w:p>
        </w:tc>
        <w:tc>
          <w:tcPr>
            <w:tcW w:w="95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vAlign w:val="center"/>
          </w:tcPr>
          <w:p>
            <w:pPr>
              <w:jc w:val="center"/>
              <w:rPr>
                <w:rFonts w:ascii="宋体" w:hAnsi="宋体"/>
                <w:sz w:val="24"/>
              </w:rPr>
            </w:pPr>
            <w:r>
              <w:rPr>
                <w:rFonts w:hint="eastAsia" w:ascii="宋体" w:hAnsi="宋体"/>
                <w:sz w:val="24"/>
              </w:rPr>
              <w:t>全水分</w:t>
            </w:r>
          </w:p>
        </w:tc>
        <w:tc>
          <w:tcPr>
            <w:tcW w:w="3060" w:type="dxa"/>
            <w:vAlign w:val="center"/>
          </w:tcPr>
          <w:p>
            <w:pPr>
              <w:rPr>
                <w:rFonts w:ascii="宋体" w:hAnsi="宋体"/>
                <w:sz w:val="24"/>
              </w:rPr>
            </w:pPr>
            <w:r>
              <w:rPr>
                <w:rFonts w:hint="eastAsia" w:ascii="宋体" w:hAnsi="宋体"/>
                <w:sz w:val="28"/>
                <w:szCs w:val="28"/>
              </w:rPr>
              <w:t>&gt;</w:t>
            </w:r>
            <w:r>
              <w:rPr>
                <w:rFonts w:hint="eastAsia" w:ascii="宋体" w:hAnsi="宋体"/>
                <w:sz w:val="24"/>
              </w:rPr>
              <w:t>8％</w:t>
            </w:r>
          </w:p>
        </w:tc>
        <w:tc>
          <w:tcPr>
            <w:tcW w:w="3240" w:type="dxa"/>
            <w:vAlign w:val="center"/>
          </w:tcPr>
          <w:p>
            <w:pPr>
              <w:jc w:val="center"/>
              <w:rPr>
                <w:rFonts w:ascii="宋体" w:hAnsi="宋体"/>
                <w:sz w:val="24"/>
              </w:rPr>
            </w:pPr>
            <w:r>
              <w:rPr>
                <w:rFonts w:hint="eastAsia" w:ascii="宋体" w:hAnsi="宋体"/>
                <w:sz w:val="24"/>
              </w:rPr>
              <w:t>结算重量＝过磅重量×（1－实际全水份）/（1－8％）</w:t>
            </w:r>
          </w:p>
        </w:tc>
        <w:tc>
          <w:tcPr>
            <w:tcW w:w="95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restart"/>
            <w:vAlign w:val="center"/>
          </w:tcPr>
          <w:p>
            <w:pPr>
              <w:jc w:val="center"/>
              <w:rPr>
                <w:rFonts w:ascii="宋体" w:hAnsi="宋体"/>
                <w:sz w:val="24"/>
              </w:rPr>
            </w:pPr>
            <w:r>
              <w:rPr>
                <w:rFonts w:hint="eastAsia" w:ascii="宋体" w:hAnsi="宋体"/>
                <w:sz w:val="24"/>
              </w:rPr>
              <w:t>全硫分</w:t>
            </w:r>
          </w:p>
        </w:tc>
        <w:tc>
          <w:tcPr>
            <w:tcW w:w="3060" w:type="dxa"/>
            <w:vAlign w:val="center"/>
          </w:tcPr>
          <w:p>
            <w:pPr>
              <w:rPr>
                <w:rFonts w:ascii="宋体" w:hAnsi="宋体"/>
                <w:sz w:val="24"/>
              </w:rPr>
            </w:pPr>
            <w:r>
              <w:rPr>
                <w:rFonts w:hint="eastAsia" w:ascii="宋体" w:hAnsi="宋体"/>
                <w:sz w:val="24"/>
              </w:rPr>
              <w:t>0.5%＜硫≤0.55%</w:t>
            </w:r>
          </w:p>
        </w:tc>
        <w:tc>
          <w:tcPr>
            <w:tcW w:w="3240" w:type="dxa"/>
            <w:vAlign w:val="center"/>
          </w:tcPr>
          <w:p>
            <w:pPr>
              <w:jc w:val="center"/>
              <w:rPr>
                <w:rFonts w:ascii="宋体" w:hAnsi="宋体"/>
                <w:sz w:val="24"/>
              </w:rPr>
            </w:pPr>
            <w:r>
              <w:rPr>
                <w:rFonts w:hint="eastAsia" w:ascii="宋体" w:hAnsi="宋体"/>
                <w:sz w:val="24"/>
              </w:rPr>
              <w:t>扣：（单样值-0.5）×</w:t>
            </w:r>
            <w:r>
              <w:rPr>
                <w:rFonts w:ascii="宋体" w:hAnsi="宋体"/>
                <w:sz w:val="24"/>
              </w:rPr>
              <w:t>1</w:t>
            </w:r>
            <w:r>
              <w:rPr>
                <w:rFonts w:hint="eastAsia" w:ascii="宋体" w:hAnsi="宋体"/>
                <w:sz w:val="24"/>
              </w:rPr>
              <w:t>00 元/吨</w:t>
            </w:r>
          </w:p>
        </w:tc>
        <w:tc>
          <w:tcPr>
            <w:tcW w:w="95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continue"/>
            <w:vAlign w:val="center"/>
          </w:tcPr>
          <w:p>
            <w:pPr>
              <w:jc w:val="center"/>
              <w:rPr>
                <w:rFonts w:ascii="宋体" w:hAnsi="宋体"/>
                <w:sz w:val="24"/>
              </w:rPr>
            </w:pPr>
          </w:p>
        </w:tc>
        <w:tc>
          <w:tcPr>
            <w:tcW w:w="3060" w:type="dxa"/>
          </w:tcPr>
          <w:p>
            <w:pPr>
              <w:rPr>
                <w:rFonts w:ascii="宋体" w:hAnsi="宋体"/>
                <w:sz w:val="24"/>
              </w:rPr>
            </w:pPr>
            <w:r>
              <w:rPr>
                <w:rFonts w:hint="eastAsia" w:ascii="宋体" w:hAnsi="宋体"/>
                <w:sz w:val="24"/>
              </w:rPr>
              <w:t>0.55%＜硫≤0.6%</w:t>
            </w:r>
          </w:p>
        </w:tc>
        <w:tc>
          <w:tcPr>
            <w:tcW w:w="3240" w:type="dxa"/>
          </w:tcPr>
          <w:p>
            <w:pPr>
              <w:jc w:val="center"/>
              <w:rPr>
                <w:rFonts w:ascii="宋体" w:hAnsi="宋体"/>
                <w:sz w:val="24"/>
              </w:rPr>
            </w:pPr>
            <w:r>
              <w:rPr>
                <w:rFonts w:hint="eastAsia" w:ascii="宋体" w:hAnsi="宋体"/>
                <w:sz w:val="24"/>
              </w:rPr>
              <w:t>扣：（单样值-0.5）×</w:t>
            </w:r>
            <w:r>
              <w:rPr>
                <w:rFonts w:ascii="宋体" w:hAnsi="宋体"/>
                <w:sz w:val="24"/>
              </w:rPr>
              <w:t>2</w:t>
            </w:r>
            <w:r>
              <w:rPr>
                <w:rFonts w:hint="eastAsia" w:ascii="宋体" w:hAnsi="宋体"/>
                <w:sz w:val="24"/>
              </w:rPr>
              <w:t>00 元/吨</w:t>
            </w:r>
          </w:p>
        </w:tc>
        <w:tc>
          <w:tcPr>
            <w:tcW w:w="95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sz w:val="24"/>
              </w:rPr>
            </w:pPr>
          </w:p>
        </w:tc>
        <w:tc>
          <w:tcPr>
            <w:tcW w:w="3060" w:type="dxa"/>
            <w:vAlign w:val="center"/>
          </w:tcPr>
          <w:p>
            <w:pPr>
              <w:rPr>
                <w:rFonts w:ascii="宋体" w:hAnsi="宋体"/>
                <w:sz w:val="24"/>
              </w:rPr>
            </w:pPr>
            <w:r>
              <w:rPr>
                <w:rFonts w:hint="eastAsia" w:ascii="宋体" w:hAnsi="宋体"/>
                <w:sz w:val="24"/>
              </w:rPr>
              <w:t>0.</w:t>
            </w:r>
            <w:r>
              <w:rPr>
                <w:rFonts w:ascii="宋体" w:hAnsi="宋体"/>
                <w:sz w:val="24"/>
              </w:rPr>
              <w:t>6%</w:t>
            </w:r>
            <w:r>
              <w:rPr>
                <w:rFonts w:hint="eastAsia" w:ascii="宋体" w:hAnsi="宋体"/>
                <w:sz w:val="24"/>
              </w:rPr>
              <w:t>＜硫≤0.</w:t>
            </w:r>
            <w:r>
              <w:rPr>
                <w:rFonts w:ascii="宋体" w:hAnsi="宋体"/>
                <w:sz w:val="24"/>
              </w:rPr>
              <w:t>65%</w:t>
            </w:r>
          </w:p>
        </w:tc>
        <w:tc>
          <w:tcPr>
            <w:tcW w:w="3240" w:type="dxa"/>
          </w:tcPr>
          <w:p>
            <w:pPr>
              <w:jc w:val="center"/>
              <w:rPr>
                <w:rFonts w:ascii="宋体" w:hAnsi="宋体"/>
                <w:sz w:val="24"/>
              </w:rPr>
            </w:pPr>
            <w:r>
              <w:rPr>
                <w:rFonts w:hint="eastAsia" w:ascii="宋体" w:hAnsi="宋体"/>
                <w:sz w:val="24"/>
              </w:rPr>
              <w:t>扣：（单样值-0.5）×400 元/吨</w:t>
            </w:r>
          </w:p>
        </w:tc>
        <w:tc>
          <w:tcPr>
            <w:tcW w:w="95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sz w:val="24"/>
              </w:rPr>
            </w:pPr>
          </w:p>
        </w:tc>
        <w:tc>
          <w:tcPr>
            <w:tcW w:w="3060" w:type="dxa"/>
          </w:tcPr>
          <w:p>
            <w:pPr>
              <w:rPr>
                <w:rFonts w:ascii="宋体" w:hAnsi="宋体"/>
                <w:sz w:val="24"/>
              </w:rPr>
            </w:pPr>
            <w:r>
              <w:rPr>
                <w:rFonts w:hint="eastAsia" w:ascii="宋体" w:hAnsi="宋体"/>
                <w:sz w:val="24"/>
              </w:rPr>
              <w:t>0.</w:t>
            </w:r>
            <w:r>
              <w:rPr>
                <w:rFonts w:ascii="宋体" w:hAnsi="宋体"/>
                <w:sz w:val="24"/>
              </w:rPr>
              <w:t>65%</w:t>
            </w:r>
            <w:r>
              <w:rPr>
                <w:rFonts w:hint="eastAsia" w:ascii="宋体" w:hAnsi="宋体"/>
                <w:sz w:val="24"/>
              </w:rPr>
              <w:t>＜硫≤0.</w:t>
            </w:r>
            <w:r>
              <w:rPr>
                <w:rFonts w:ascii="宋体" w:hAnsi="宋体"/>
                <w:sz w:val="24"/>
              </w:rPr>
              <w:t>7%</w:t>
            </w:r>
          </w:p>
        </w:tc>
        <w:tc>
          <w:tcPr>
            <w:tcW w:w="3240" w:type="dxa"/>
          </w:tcPr>
          <w:p>
            <w:pPr>
              <w:jc w:val="center"/>
              <w:rPr>
                <w:rFonts w:ascii="宋体" w:hAnsi="宋体"/>
                <w:sz w:val="24"/>
              </w:rPr>
            </w:pPr>
            <w:r>
              <w:rPr>
                <w:rFonts w:hint="eastAsia" w:ascii="宋体" w:hAnsi="宋体"/>
                <w:sz w:val="24"/>
              </w:rPr>
              <w:t>扣：（单样值-0.5）×</w:t>
            </w:r>
            <w:r>
              <w:rPr>
                <w:rFonts w:ascii="宋体" w:hAnsi="宋体"/>
                <w:sz w:val="24"/>
              </w:rPr>
              <w:t>5</w:t>
            </w:r>
            <w:r>
              <w:rPr>
                <w:rFonts w:hint="eastAsia" w:ascii="宋体" w:hAnsi="宋体"/>
                <w:sz w:val="24"/>
              </w:rPr>
              <w:t>00 元/吨</w:t>
            </w:r>
          </w:p>
        </w:tc>
        <w:tc>
          <w:tcPr>
            <w:tcW w:w="95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sz w:val="24"/>
              </w:rPr>
            </w:pPr>
          </w:p>
        </w:tc>
        <w:tc>
          <w:tcPr>
            <w:tcW w:w="3060" w:type="dxa"/>
            <w:vAlign w:val="center"/>
          </w:tcPr>
          <w:p>
            <w:pPr>
              <w:rPr>
                <w:rFonts w:ascii="宋体" w:hAnsi="宋体"/>
                <w:sz w:val="24"/>
              </w:rPr>
            </w:pPr>
            <w:r>
              <w:rPr>
                <w:rFonts w:hint="eastAsia" w:ascii="宋体" w:hAnsi="宋体"/>
                <w:sz w:val="24"/>
              </w:rPr>
              <w:t>硫</w:t>
            </w:r>
            <w:r>
              <w:rPr>
                <w:rFonts w:ascii="宋体" w:hAnsi="宋体"/>
                <w:sz w:val="24"/>
              </w:rPr>
              <w:t>&gt;</w:t>
            </w:r>
            <w:r>
              <w:rPr>
                <w:rFonts w:hint="eastAsia" w:ascii="宋体" w:hAnsi="宋体"/>
                <w:sz w:val="24"/>
              </w:rPr>
              <w:t>0.</w:t>
            </w:r>
            <w:r>
              <w:rPr>
                <w:rFonts w:ascii="宋体" w:hAnsi="宋体"/>
                <w:sz w:val="24"/>
              </w:rPr>
              <w:t>7</w:t>
            </w:r>
            <w:r>
              <w:rPr>
                <w:rFonts w:hint="eastAsia" w:ascii="宋体" w:hAnsi="宋体"/>
                <w:sz w:val="24"/>
              </w:rPr>
              <w:t>％</w:t>
            </w:r>
          </w:p>
        </w:tc>
        <w:tc>
          <w:tcPr>
            <w:tcW w:w="3240" w:type="dxa"/>
          </w:tcPr>
          <w:p>
            <w:pPr>
              <w:jc w:val="center"/>
              <w:rPr>
                <w:rFonts w:ascii="宋体" w:hAnsi="宋体"/>
                <w:sz w:val="24"/>
              </w:rPr>
            </w:pPr>
            <w:r>
              <w:rPr>
                <w:rFonts w:hint="eastAsia" w:ascii="宋体" w:hAnsi="宋体"/>
                <w:sz w:val="24"/>
              </w:rPr>
              <w:t>扣：（单样值-0.5）×</w:t>
            </w:r>
            <w:r>
              <w:rPr>
                <w:rFonts w:ascii="宋体" w:hAnsi="宋体"/>
                <w:sz w:val="24"/>
              </w:rPr>
              <w:t>6</w:t>
            </w:r>
            <w:r>
              <w:rPr>
                <w:rFonts w:hint="eastAsia" w:ascii="宋体" w:hAnsi="宋体"/>
                <w:sz w:val="24"/>
              </w:rPr>
              <w:t>00 元/吨</w:t>
            </w:r>
          </w:p>
        </w:tc>
        <w:tc>
          <w:tcPr>
            <w:tcW w:w="956" w:type="dxa"/>
            <w:vAlign w:val="center"/>
          </w:tcPr>
          <w:p>
            <w:pPr>
              <w:jc w:val="center"/>
              <w:rPr>
                <w:rFonts w:ascii="仿宋_GB2312" w:eastAsia="仿宋_GB2312"/>
                <w:sz w:val="24"/>
              </w:rPr>
            </w:pPr>
          </w:p>
        </w:tc>
      </w:tr>
    </w:tbl>
    <w:p>
      <w:pPr>
        <w:spacing w:line="500" w:lineRule="exact"/>
        <w:ind w:firstLine="360" w:firstLineChars="150"/>
        <w:rPr>
          <w:rFonts w:ascii="仿宋_GB2312" w:eastAsia="仿宋_GB2312"/>
          <w:sz w:val="24"/>
        </w:rPr>
      </w:pPr>
      <w:r>
        <w:rPr>
          <w:rFonts w:ascii="仿宋_GB2312" w:eastAsia="仿宋_GB2312"/>
          <w:sz w:val="24"/>
        </w:rPr>
        <w:t>4</w:t>
      </w:r>
      <w:r>
        <w:rPr>
          <w:rFonts w:hint="eastAsia" w:ascii="仿宋_GB2312" w:eastAsia="仿宋_GB2312"/>
          <w:sz w:val="24"/>
        </w:rPr>
        <w:t>、若出现单样热值小于3800大卡/千克，采购方有权对该批次煤炭进行罚没；含水量明显不符要求的，甲方有权拒收。</w:t>
      </w:r>
    </w:p>
    <w:p>
      <w:pPr>
        <w:spacing w:line="500" w:lineRule="exact"/>
        <w:ind w:firstLine="360" w:firstLineChars="150"/>
        <w:rPr>
          <w:rFonts w:ascii="仿宋_GB2312" w:eastAsia="仿宋_GB2312"/>
          <w:sz w:val="24"/>
        </w:rPr>
      </w:pPr>
      <w:r>
        <w:rPr>
          <w:rFonts w:hint="eastAsia" w:ascii="仿宋_GB2312" w:eastAsia="仿宋_GB2312"/>
          <w:sz w:val="24"/>
        </w:rPr>
        <w:t>5、发现1米以上编织袋（防尘布）扣500元/次，发现大于0.3米铁块扣500元/次。</w:t>
      </w:r>
    </w:p>
    <w:p>
      <w:pPr>
        <w:spacing w:line="500" w:lineRule="exact"/>
        <w:rPr>
          <w:rFonts w:ascii="仿宋_GB2312" w:eastAsia="仿宋_GB2312"/>
          <w:b/>
          <w:sz w:val="24"/>
        </w:rPr>
      </w:pPr>
      <w:r>
        <w:rPr>
          <w:rFonts w:hint="eastAsia" w:ascii="仿宋_GB2312" w:eastAsia="仿宋_GB2312"/>
          <w:b/>
          <w:sz w:val="24"/>
        </w:rPr>
        <w:t>第六条  付款方式</w:t>
      </w:r>
    </w:p>
    <w:p>
      <w:pPr>
        <w:spacing w:line="500" w:lineRule="exact"/>
        <w:ind w:firstLine="360" w:firstLineChars="150"/>
        <w:rPr>
          <w:rFonts w:ascii="仿宋_GB2312" w:eastAsia="仿宋_GB2312"/>
          <w:sz w:val="24"/>
        </w:rPr>
      </w:pPr>
      <w:r>
        <w:rPr>
          <w:rFonts w:hint="eastAsia" w:ascii="仿宋_GB2312" w:eastAsia="仿宋_GB2312"/>
          <w:sz w:val="24"/>
        </w:rPr>
        <w:t>乙方应在甲方完成煤炭验收合格并审核无误后，四天内开据相对应正规合法有效增值税专用发票送至甲方，甲方应在收到发票后书面确认货款总金额无误后20个工作日内付清货款。</w:t>
      </w:r>
    </w:p>
    <w:p>
      <w:pPr>
        <w:numPr>
          <w:ilvl w:val="0"/>
          <w:numId w:val="13"/>
        </w:numPr>
        <w:spacing w:line="500" w:lineRule="exact"/>
        <w:rPr>
          <w:rFonts w:ascii="仿宋_GB2312" w:eastAsia="仿宋_GB2312"/>
          <w:b/>
          <w:sz w:val="24"/>
        </w:rPr>
      </w:pPr>
      <w:r>
        <w:rPr>
          <w:rFonts w:hint="eastAsia" w:ascii="仿宋_GB2312" w:eastAsia="仿宋_GB2312"/>
          <w:b/>
          <w:sz w:val="24"/>
        </w:rPr>
        <w:t xml:space="preserve"> 违约责任</w:t>
      </w:r>
    </w:p>
    <w:p>
      <w:pPr>
        <w:spacing w:line="500" w:lineRule="exact"/>
        <w:ind w:firstLine="360" w:firstLineChars="150"/>
        <w:rPr>
          <w:rFonts w:ascii="仿宋_GB2312" w:eastAsia="仿宋_GB2312"/>
          <w:sz w:val="24"/>
        </w:rPr>
      </w:pPr>
      <w:r>
        <w:rPr>
          <w:rFonts w:hint="eastAsia" w:ascii="仿宋_GB2312" w:eastAsia="仿宋_GB2312"/>
          <w:sz w:val="24"/>
        </w:rPr>
        <w:t>1、我司将根据煤炭质量的奖惩标准进行验收，不符合质量要求的，我司有权拒收；若存在以次充好、弄虚作假的，我司将暂停其</w:t>
      </w:r>
      <w:r>
        <w:rPr>
          <w:rFonts w:hint="eastAsia" w:ascii="仿宋_GB2312" w:eastAsia="仿宋_GB2312"/>
          <w:sz w:val="24"/>
          <w:lang w:val="en-US" w:eastAsia="zh-CN"/>
        </w:rPr>
        <w:t>一年采购资格</w:t>
      </w:r>
      <w:r>
        <w:rPr>
          <w:rFonts w:hint="eastAsia" w:ascii="仿宋_GB2312" w:eastAsia="仿宋_GB2312"/>
          <w:sz w:val="24"/>
        </w:rPr>
        <w:t>。</w:t>
      </w:r>
    </w:p>
    <w:p>
      <w:pPr>
        <w:spacing w:line="500" w:lineRule="exact"/>
        <w:ind w:firstLine="360" w:firstLineChars="150"/>
        <w:rPr>
          <w:rFonts w:ascii="仿宋_GB2312" w:eastAsia="仿宋_GB2312"/>
          <w:sz w:val="24"/>
        </w:rPr>
      </w:pPr>
      <w:r>
        <w:rPr>
          <w:rFonts w:hint="eastAsia" w:ascii="仿宋_GB2312" w:eastAsia="仿宋_GB2312"/>
          <w:sz w:val="24"/>
        </w:rPr>
        <w:t>2、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pPr>
        <w:spacing w:line="500" w:lineRule="exact"/>
        <w:ind w:firstLine="360" w:firstLineChars="150"/>
        <w:rPr>
          <w:rFonts w:ascii="仿宋_GB2312" w:eastAsia="仿宋_GB2312"/>
          <w:sz w:val="24"/>
        </w:rPr>
      </w:pPr>
      <w:r>
        <w:rPr>
          <w:rFonts w:hint="eastAsia" w:ascii="仿宋_GB2312" w:eastAsia="仿宋_GB2312"/>
          <w:sz w:val="24"/>
        </w:rPr>
        <w:t>3、若甲方未能按照下达的计划数量进煤，应于当月前10天通知乙方将剩余数量按原价转下月供应。</w:t>
      </w:r>
    </w:p>
    <w:p>
      <w:pPr>
        <w:spacing w:line="500" w:lineRule="exact"/>
        <w:ind w:firstLine="360" w:firstLineChars="150"/>
        <w:rPr>
          <w:rFonts w:ascii="仿宋_GB2312" w:eastAsia="仿宋_GB2312"/>
          <w:sz w:val="24"/>
        </w:rPr>
      </w:pPr>
      <w:r>
        <w:rPr>
          <w:rFonts w:hint="eastAsia" w:ascii="仿宋_GB2312" w:eastAsia="仿宋_GB2312"/>
          <w:sz w:val="24"/>
        </w:rPr>
        <w:t>4、乙方在执行合同中如出现恶意掺混煤炭以外的杂质（包含但不限于煤矸石），甲方有权拒收并要求乙方进行整改，如乙方未做整改，甲方有权终止合同执行，取消乙方煤炭投标资格壹年。并视情况进行5万-10万的经济惩罚。</w:t>
      </w:r>
    </w:p>
    <w:p>
      <w:pPr>
        <w:spacing w:line="500" w:lineRule="exact"/>
        <w:ind w:firstLine="360" w:firstLineChars="150"/>
        <w:rPr>
          <w:rFonts w:ascii="仿宋_GB2312" w:eastAsia="仿宋_GB2312"/>
          <w:sz w:val="24"/>
        </w:rPr>
      </w:pPr>
      <w:r>
        <w:rPr>
          <w:rFonts w:hint="eastAsia" w:ascii="仿宋_GB2312" w:eastAsia="仿宋_GB2312"/>
          <w:sz w:val="24"/>
        </w:rPr>
        <w:t>5、乙方应遵守环保法及相关法律、法规，并按要求进行冲洗车辆，若在厂区内外发生的环境污染等问题，每次罚款1000元，乙方须自行承担法律责任。</w:t>
      </w:r>
    </w:p>
    <w:p>
      <w:pPr>
        <w:spacing w:line="500" w:lineRule="exact"/>
        <w:ind w:firstLine="360" w:firstLineChars="150"/>
        <w:rPr>
          <w:rFonts w:ascii="仿宋_GB2312" w:eastAsia="仿宋_GB2312"/>
          <w:sz w:val="24"/>
        </w:rPr>
      </w:pPr>
      <w:r>
        <w:rPr>
          <w:rFonts w:hint="eastAsia" w:ascii="仿宋_GB2312" w:eastAsia="仿宋_GB2312"/>
          <w:sz w:val="24"/>
        </w:rPr>
        <w:t>6、若发生不可抗拒的因素影响，甲乙双方无须对对方负责任，受影响一方应在第一时间通知对方详情，并积极采取有效的措施，防止或减少双方损失，并提供事故所在地政府有关证明。</w:t>
      </w:r>
    </w:p>
    <w:p>
      <w:pPr>
        <w:snapToGrid w:val="0"/>
        <w:spacing w:line="500" w:lineRule="exact"/>
        <w:rPr>
          <w:rFonts w:ascii="仿宋_GB2312" w:hAnsi="宋体" w:eastAsia="仿宋_GB2312"/>
          <w:b/>
          <w:sz w:val="24"/>
        </w:rPr>
      </w:pPr>
      <w:r>
        <w:rPr>
          <w:rFonts w:hint="eastAsia" w:ascii="仿宋_GB2312" w:hAnsi="宋体" w:eastAsia="仿宋_GB2312"/>
          <w:b/>
          <w:sz w:val="24"/>
        </w:rPr>
        <w:t>第八条 争议或纠纷处理</w:t>
      </w:r>
    </w:p>
    <w:p>
      <w:pPr>
        <w:snapToGrid w:val="0"/>
        <w:spacing w:line="500" w:lineRule="exact"/>
        <w:rPr>
          <w:rFonts w:ascii="仿宋_GB2312" w:hAnsi="宋体" w:eastAsia="仿宋_GB2312"/>
          <w:b/>
          <w:sz w:val="24"/>
        </w:rPr>
      </w:pPr>
      <w:r>
        <w:rPr>
          <w:rFonts w:hint="eastAsia" w:ascii="仿宋_GB2312" w:hAnsi="宋体" w:eastAsia="仿宋_GB2312"/>
          <w:b/>
          <w:sz w:val="24"/>
        </w:rPr>
        <w:t xml:space="preserve">  </w:t>
      </w:r>
      <w:r>
        <w:rPr>
          <w:rFonts w:hint="eastAsia" w:ascii="仿宋_GB2312" w:eastAsia="仿宋_GB2312"/>
          <w:sz w:val="24"/>
        </w:rPr>
        <w:t>经双方友好协商无法解决时，交由甲方所在地有管辖权的人民法院诉讼解决。</w:t>
      </w:r>
    </w:p>
    <w:p>
      <w:pPr>
        <w:snapToGrid w:val="0"/>
        <w:spacing w:line="500" w:lineRule="exact"/>
        <w:rPr>
          <w:rFonts w:ascii="仿宋_GB2312" w:hAnsi="宋体" w:eastAsia="仿宋_GB2312"/>
          <w:b/>
          <w:sz w:val="24"/>
        </w:rPr>
      </w:pPr>
      <w:r>
        <w:rPr>
          <w:rFonts w:hint="eastAsia" w:ascii="仿宋_GB2312" w:hAnsi="宋体" w:eastAsia="仿宋_GB2312"/>
          <w:b/>
          <w:sz w:val="24"/>
        </w:rPr>
        <w:t>第九条 其它</w:t>
      </w:r>
    </w:p>
    <w:p>
      <w:pPr>
        <w:snapToGrid w:val="0"/>
        <w:spacing w:line="500" w:lineRule="exact"/>
        <w:ind w:firstLine="480"/>
        <w:rPr>
          <w:rFonts w:ascii="仿宋_GB2312" w:hAnsi="宋体" w:eastAsia="仿宋_GB2312"/>
          <w:sz w:val="24"/>
        </w:rPr>
      </w:pPr>
      <w:r>
        <w:rPr>
          <w:rFonts w:hint="eastAsia" w:ascii="仿宋_GB2312" w:hAnsi="宋体" w:eastAsia="仿宋_GB2312"/>
          <w:sz w:val="24"/>
        </w:rPr>
        <w:t>1、招标公告中所示内容及要求的法律效力与本合同条款等同。</w:t>
      </w:r>
    </w:p>
    <w:p>
      <w:pPr>
        <w:snapToGrid w:val="0"/>
        <w:spacing w:line="500" w:lineRule="exact"/>
        <w:ind w:firstLine="480"/>
        <w:rPr>
          <w:rFonts w:ascii="仿宋_GB2312" w:hAnsi="宋体" w:eastAsia="仿宋_GB2312"/>
          <w:sz w:val="24"/>
        </w:rPr>
      </w:pPr>
      <w:r>
        <w:rPr>
          <w:rFonts w:hint="eastAsia" w:ascii="仿宋_GB2312" w:hAnsi="宋体" w:eastAsia="仿宋_GB2312"/>
          <w:sz w:val="24"/>
        </w:rPr>
        <w:t xml:space="preserve">2、本合同自双方签字盖章后生效，合同如有未尽事宜，双方共同协商。 </w:t>
      </w:r>
    </w:p>
    <w:p>
      <w:pPr>
        <w:snapToGrid w:val="0"/>
        <w:spacing w:line="500" w:lineRule="exact"/>
        <w:rPr>
          <w:rFonts w:ascii="仿宋_GB2312" w:hAnsi="宋体" w:eastAsia="仿宋_GB2312"/>
          <w:sz w:val="24"/>
        </w:rPr>
      </w:pPr>
      <w:r>
        <w:rPr>
          <w:rFonts w:hint="eastAsia" w:ascii="仿宋_GB2312" w:hAnsi="宋体" w:eastAsia="仿宋_GB2312"/>
          <w:sz w:val="24"/>
        </w:rPr>
        <w:t>　  3、本合同正本一式</w:t>
      </w:r>
      <w:r>
        <w:rPr>
          <w:rFonts w:hint="eastAsia" w:ascii="仿宋_GB2312" w:hAnsi="宋体" w:eastAsia="仿宋_GB2312" w:cs="宋体"/>
          <w:sz w:val="24"/>
        </w:rPr>
        <w:t>三份</w:t>
      </w:r>
      <w:r>
        <w:rPr>
          <w:rFonts w:hint="eastAsia" w:ascii="仿宋_GB2312" w:hAnsi="宋体" w:eastAsia="仿宋_GB2312"/>
          <w:sz w:val="24"/>
        </w:rPr>
        <w:t>，甲方二份，乙方一份，具有同等法律效力。</w:t>
      </w:r>
    </w:p>
    <w:tbl>
      <w:tblPr>
        <w:tblStyle w:val="12"/>
        <w:tblpPr w:leftFromText="180" w:rightFromText="180" w:vertAnchor="text" w:horzAnchor="page" w:tblpX="1131" w:tblpY="287"/>
        <w:tblOverlap w:val="never"/>
        <w:tblW w:w="9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388" w:type="dxa"/>
          </w:tcPr>
          <w:p>
            <w:pPr>
              <w:spacing w:line="500" w:lineRule="exact"/>
              <w:rPr>
                <w:rFonts w:hint="eastAsia" w:ascii="宋体" w:hAnsi="宋体" w:eastAsia="宋体" w:cs="Times New Roman"/>
                <w:szCs w:val="21"/>
              </w:rPr>
            </w:pPr>
            <w:r>
              <w:rPr>
                <w:rFonts w:hint="eastAsia" w:ascii="宋体" w:hAnsi="宋体" w:eastAsia="宋体" w:cs="Times New Roman"/>
                <w:szCs w:val="21"/>
                <w:lang w:eastAsia="zh-CN"/>
              </w:rPr>
              <w:t>甲</w:t>
            </w:r>
            <w:r>
              <w:rPr>
                <w:rFonts w:hint="eastAsia" w:ascii="宋体" w:hAnsi="宋体" w:eastAsia="宋体" w:cs="Times New Roman"/>
                <w:szCs w:val="21"/>
              </w:rPr>
              <w:t>方：厦门同集热电有限公司</w:t>
            </w:r>
          </w:p>
          <w:p>
            <w:pPr>
              <w:spacing w:line="500" w:lineRule="exact"/>
              <w:rPr>
                <w:rFonts w:hint="eastAsia" w:ascii="宋体" w:hAnsi="宋体" w:eastAsia="宋体" w:cs="Times New Roman"/>
                <w:szCs w:val="21"/>
              </w:rPr>
            </w:pPr>
            <w:r>
              <w:rPr>
                <w:rFonts w:hint="eastAsia" w:ascii="宋体" w:hAnsi="宋体" w:eastAsia="宋体" w:cs="Times New Roman"/>
                <w:szCs w:val="21"/>
              </w:rPr>
              <w:t>地址：厦门市同安区美禾三路399号</w:t>
            </w:r>
          </w:p>
          <w:p>
            <w:pPr>
              <w:spacing w:line="500" w:lineRule="exact"/>
              <w:rPr>
                <w:rFonts w:hint="eastAsia" w:ascii="宋体" w:hAnsi="宋体" w:eastAsia="宋体" w:cs="Times New Roman"/>
                <w:szCs w:val="21"/>
              </w:rPr>
            </w:pPr>
            <w:r>
              <w:rPr>
                <w:rFonts w:hint="eastAsia" w:ascii="宋体" w:hAnsi="宋体" w:eastAsia="宋体" w:cs="Times New Roman"/>
                <w:szCs w:val="21"/>
              </w:rPr>
              <w:t>法定代表人：</w:t>
            </w:r>
          </w:p>
          <w:p>
            <w:pPr>
              <w:spacing w:line="500" w:lineRule="exact"/>
              <w:rPr>
                <w:rFonts w:hint="eastAsia" w:ascii="宋体" w:hAnsi="宋体" w:eastAsia="宋体" w:cs="Times New Roman"/>
                <w:szCs w:val="21"/>
              </w:rPr>
            </w:pPr>
            <w:r>
              <w:rPr>
                <w:rFonts w:hint="eastAsia" w:ascii="宋体" w:hAnsi="宋体" w:eastAsia="宋体" w:cs="Times New Roman"/>
                <w:szCs w:val="21"/>
              </w:rPr>
              <w:t xml:space="preserve">开户行：中国建设银行新阳支行 </w:t>
            </w:r>
          </w:p>
          <w:p>
            <w:pPr>
              <w:spacing w:line="500" w:lineRule="exact"/>
              <w:rPr>
                <w:rFonts w:hint="eastAsia" w:ascii="宋体" w:hAnsi="宋体" w:eastAsia="宋体" w:cs="Times New Roman"/>
                <w:szCs w:val="21"/>
              </w:rPr>
            </w:pPr>
            <w:r>
              <w:rPr>
                <w:rFonts w:hint="eastAsia" w:ascii="宋体" w:hAnsi="宋体" w:eastAsia="宋体" w:cs="Times New Roman"/>
                <w:szCs w:val="21"/>
              </w:rPr>
              <w:t xml:space="preserve">账号：35150198260100001656 </w:t>
            </w:r>
          </w:p>
          <w:p>
            <w:pPr>
              <w:spacing w:line="5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经办人：</w:t>
            </w:r>
          </w:p>
          <w:p>
            <w:pPr>
              <w:spacing w:line="500" w:lineRule="exact"/>
              <w:rPr>
                <w:rFonts w:hint="eastAsia" w:ascii="宋体" w:hAnsi="宋体" w:eastAsia="宋体" w:cs="Times New Roman"/>
                <w:szCs w:val="21"/>
              </w:rPr>
            </w:pPr>
            <w:r>
              <w:rPr>
                <w:rFonts w:hint="eastAsia" w:ascii="宋体" w:hAnsi="宋体" w:eastAsia="宋体" w:cs="Times New Roman"/>
                <w:szCs w:val="21"/>
              </w:rPr>
              <w:t>电话：0592-7396297</w:t>
            </w:r>
          </w:p>
          <w:p>
            <w:pPr>
              <w:spacing w:line="500" w:lineRule="exact"/>
              <w:rPr>
                <w:rFonts w:hint="eastAsia" w:ascii="宋体" w:hAnsi="宋体" w:eastAsia="宋体" w:cs="Times New Roman"/>
                <w:szCs w:val="21"/>
              </w:rPr>
            </w:pPr>
          </w:p>
        </w:tc>
        <w:tc>
          <w:tcPr>
            <w:tcW w:w="5301" w:type="dxa"/>
          </w:tcPr>
          <w:p>
            <w:pPr>
              <w:spacing w:line="500" w:lineRule="exact"/>
              <w:rPr>
                <w:rFonts w:hint="eastAsia" w:ascii="宋体" w:hAnsi="宋体" w:eastAsia="宋体" w:cs="Times New Roman"/>
                <w:szCs w:val="21"/>
              </w:rPr>
            </w:pPr>
            <w:r>
              <w:rPr>
                <w:rFonts w:hint="eastAsia" w:ascii="宋体" w:hAnsi="宋体" w:eastAsia="宋体" w:cs="Times New Roman"/>
                <w:szCs w:val="21"/>
                <w:lang w:eastAsia="zh-CN"/>
              </w:rPr>
              <w:t>乙</w:t>
            </w:r>
            <w:r>
              <w:rPr>
                <w:rFonts w:hint="eastAsia" w:ascii="宋体" w:hAnsi="宋体" w:eastAsia="宋体" w:cs="Times New Roman"/>
                <w:szCs w:val="21"/>
              </w:rPr>
              <w:t>方：</w:t>
            </w:r>
          </w:p>
          <w:p>
            <w:pPr>
              <w:spacing w:line="500" w:lineRule="exact"/>
              <w:rPr>
                <w:rFonts w:hint="eastAsia" w:ascii="宋体" w:hAnsi="宋体" w:eastAsia="宋体" w:cs="Times New Roman"/>
                <w:szCs w:val="21"/>
              </w:rPr>
            </w:pPr>
            <w:r>
              <w:rPr>
                <w:rFonts w:hint="eastAsia" w:ascii="宋体" w:hAnsi="宋体" w:eastAsia="宋体" w:cs="Times New Roman"/>
                <w:szCs w:val="21"/>
              </w:rPr>
              <w:t>地址：</w:t>
            </w:r>
          </w:p>
          <w:p>
            <w:pPr>
              <w:spacing w:line="500" w:lineRule="exact"/>
              <w:rPr>
                <w:rFonts w:hint="eastAsia" w:ascii="宋体" w:hAnsi="宋体" w:eastAsia="宋体" w:cs="Times New Roman"/>
                <w:szCs w:val="21"/>
              </w:rPr>
            </w:pPr>
            <w:r>
              <w:rPr>
                <w:rFonts w:hint="eastAsia" w:ascii="宋体" w:hAnsi="宋体" w:eastAsia="宋体" w:cs="Times New Roman"/>
                <w:szCs w:val="21"/>
              </w:rPr>
              <w:t>法定代表人：</w:t>
            </w:r>
          </w:p>
          <w:p>
            <w:pPr>
              <w:spacing w:line="500" w:lineRule="exact"/>
              <w:rPr>
                <w:rFonts w:hint="eastAsia" w:ascii="宋体" w:hAnsi="宋体" w:eastAsia="宋体" w:cs="Times New Roman"/>
                <w:szCs w:val="21"/>
              </w:rPr>
            </w:pPr>
            <w:r>
              <w:rPr>
                <w:rFonts w:hint="eastAsia" w:ascii="宋体" w:hAnsi="宋体" w:eastAsia="宋体" w:cs="Times New Roman"/>
                <w:szCs w:val="21"/>
              </w:rPr>
              <w:t>开户行：</w:t>
            </w:r>
          </w:p>
          <w:p>
            <w:pPr>
              <w:spacing w:line="500" w:lineRule="exact"/>
              <w:rPr>
                <w:rFonts w:hint="eastAsia" w:ascii="宋体" w:hAnsi="宋体" w:eastAsia="宋体" w:cs="Times New Roman"/>
                <w:szCs w:val="21"/>
              </w:rPr>
            </w:pPr>
            <w:r>
              <w:rPr>
                <w:rFonts w:hint="eastAsia" w:ascii="宋体" w:hAnsi="宋体" w:eastAsia="宋体" w:cs="Times New Roman"/>
                <w:szCs w:val="21"/>
              </w:rPr>
              <w:t>账号：</w:t>
            </w:r>
          </w:p>
          <w:p>
            <w:pPr>
              <w:spacing w:line="5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经办人：</w:t>
            </w:r>
          </w:p>
          <w:p>
            <w:pPr>
              <w:spacing w:line="500" w:lineRule="exact"/>
              <w:rPr>
                <w:rFonts w:hint="eastAsia" w:ascii="宋体" w:hAnsi="宋体" w:eastAsia="宋体" w:cs="Times New Roman"/>
                <w:szCs w:val="21"/>
              </w:rPr>
            </w:pPr>
            <w:r>
              <w:rPr>
                <w:rFonts w:hint="eastAsia" w:ascii="宋体" w:hAnsi="宋体" w:eastAsia="宋体" w:cs="Times New Roman"/>
                <w:szCs w:val="21"/>
              </w:rPr>
              <w:t>电话：</w:t>
            </w:r>
          </w:p>
          <w:p>
            <w:pPr>
              <w:spacing w:line="500" w:lineRule="exact"/>
              <w:rPr>
                <w:rFonts w:hint="eastAsia" w:ascii="宋体" w:hAnsi="宋体" w:eastAsia="宋体" w:cs="Times New Roman"/>
                <w:szCs w:val="21"/>
              </w:rPr>
            </w:pPr>
          </w:p>
        </w:tc>
      </w:tr>
    </w:tbl>
    <w:p>
      <w:pPr>
        <w:snapToGrid w:val="0"/>
        <w:spacing w:line="360" w:lineRule="auto"/>
        <w:rPr>
          <w:rFonts w:ascii="仿宋_GB2312" w:hAnsi="宋体" w:eastAsia="仿宋_GB2312"/>
          <w:sz w:val="24"/>
        </w:rPr>
      </w:pPr>
    </w:p>
    <w:p>
      <w:pPr>
        <w:snapToGrid w:val="0"/>
        <w:spacing w:line="360" w:lineRule="auto"/>
        <w:rPr>
          <w:rFonts w:ascii="仿宋_GB2312" w:hAnsi="宋体" w:eastAsia="仿宋_GB2312"/>
          <w:sz w:val="24"/>
        </w:rPr>
      </w:pPr>
    </w:p>
    <w:p>
      <w:pPr>
        <w:snapToGrid w:val="0"/>
        <w:spacing w:line="360" w:lineRule="auto"/>
        <w:rPr>
          <w:rFonts w:ascii="仿宋_GB2312" w:hAnsi="宋体" w:eastAsia="仿宋_GB2312"/>
          <w:b/>
          <w:sz w:val="24"/>
        </w:rPr>
      </w:pPr>
      <w:r>
        <w:rPr>
          <w:rFonts w:hint="eastAsia" w:ascii="仿宋_GB2312" w:hAnsi="宋体" w:eastAsia="仿宋_GB2312"/>
          <w:sz w:val="24"/>
        </w:rPr>
        <w:t>附件</w:t>
      </w:r>
    </w:p>
    <w:p>
      <w:pPr>
        <w:jc w:val="center"/>
        <w:rPr>
          <w:rFonts w:ascii="宋体" w:hAnsi="宋体"/>
          <w:b/>
          <w:sz w:val="32"/>
          <w:szCs w:val="32"/>
        </w:rPr>
      </w:pPr>
      <w:r>
        <w:rPr>
          <w:rFonts w:hint="eastAsia" w:ascii="宋体" w:hAnsi="宋体"/>
          <w:b/>
          <w:sz w:val="32"/>
          <w:szCs w:val="32"/>
        </w:rPr>
        <w:t>廉政责任书</w:t>
      </w:r>
    </w:p>
    <w:p>
      <w:pPr>
        <w:spacing w:line="440" w:lineRule="exact"/>
        <w:rPr>
          <w:rFonts w:ascii="宋体" w:hAnsi="宋体"/>
          <w:sz w:val="24"/>
          <w:szCs w:val="24"/>
        </w:rPr>
      </w:pPr>
      <w:r>
        <w:rPr>
          <w:rFonts w:hint="eastAsia" w:ascii="宋体" w:hAnsi="宋体"/>
          <w:sz w:val="24"/>
          <w:szCs w:val="24"/>
        </w:rPr>
        <w:t>甲方：厦门同集热电有限公司</w:t>
      </w:r>
    </w:p>
    <w:p>
      <w:pPr>
        <w:spacing w:line="440" w:lineRule="exact"/>
        <w:rPr>
          <w:rFonts w:ascii="宋体" w:hAnsi="宋体"/>
          <w:sz w:val="24"/>
          <w:szCs w:val="24"/>
        </w:rPr>
      </w:pPr>
      <w:r>
        <w:rPr>
          <w:rFonts w:hint="eastAsia" w:ascii="宋体" w:hAnsi="宋体"/>
          <w:sz w:val="24"/>
          <w:szCs w:val="24"/>
        </w:rPr>
        <w:t xml:space="preserve">乙方： </w:t>
      </w:r>
    </w:p>
    <w:p>
      <w:pPr>
        <w:spacing w:line="440" w:lineRule="exact"/>
        <w:rPr>
          <w:rFonts w:ascii="宋体" w:hAnsi="宋体"/>
          <w:sz w:val="24"/>
          <w:szCs w:val="24"/>
        </w:rPr>
      </w:pPr>
      <w:r>
        <w:rPr>
          <w:rFonts w:hint="eastAsia" w:ascii="宋体" w:hAnsi="宋体"/>
          <w:sz w:val="24"/>
          <w:szCs w:val="24"/>
        </w:rPr>
        <w:t>为了保证甲、乙双方在煤炭招投标、物资采购等经济活动往来中遵纪守法、廉洁自律，特制定本廉政责任书。</w:t>
      </w:r>
    </w:p>
    <w:p>
      <w:pPr>
        <w:spacing w:line="440" w:lineRule="exact"/>
        <w:ind w:firstLine="480" w:firstLineChars="200"/>
        <w:rPr>
          <w:rFonts w:ascii="宋体" w:hAnsi="宋体"/>
          <w:sz w:val="24"/>
          <w:szCs w:val="24"/>
        </w:rPr>
      </w:pPr>
      <w:r>
        <w:rPr>
          <w:rFonts w:hint="eastAsia" w:ascii="宋体" w:hAnsi="宋体"/>
          <w:sz w:val="24"/>
          <w:szCs w:val="24"/>
        </w:rPr>
        <w:t>一、甲、乙双方应自觉遵守国家、行业、地方各项法律法规及规章制度，严格按照有关规定管理好各项工作，按照经济合同规定，履行各项义务。</w:t>
      </w:r>
    </w:p>
    <w:p>
      <w:pPr>
        <w:spacing w:line="440" w:lineRule="exact"/>
        <w:ind w:firstLine="480" w:firstLineChars="200"/>
        <w:rPr>
          <w:rFonts w:ascii="宋体" w:hAnsi="宋体"/>
          <w:sz w:val="24"/>
          <w:szCs w:val="24"/>
        </w:rPr>
      </w:pPr>
      <w:r>
        <w:rPr>
          <w:rFonts w:hint="eastAsia" w:ascii="宋体" w:hAnsi="宋体"/>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能源公司监督部门应切实履行监督检查职能，加强对甲方人员的监督，随时教育甲方人员在与乙方开展的经济活动中，保持密切合作，廉洁奉公，不谋私利。</w:t>
      </w:r>
    </w:p>
    <w:p>
      <w:pPr>
        <w:spacing w:line="440" w:lineRule="exact"/>
        <w:ind w:left="120" w:leftChars="57" w:firstLine="360" w:firstLineChars="150"/>
        <w:rPr>
          <w:rFonts w:ascii="宋体" w:hAnsi="宋体"/>
          <w:sz w:val="24"/>
          <w:szCs w:val="24"/>
        </w:rPr>
      </w:pPr>
      <w:r>
        <w:rPr>
          <w:rFonts w:hint="eastAsia" w:ascii="宋体" w:hAnsi="宋体"/>
          <w:sz w:val="24"/>
          <w:szCs w:val="24"/>
        </w:rPr>
        <w:t>三、乙方不得以任何理由向甲方人员送钱、送物或采用其他变相行向甲方行贿。否则，甲方有权终止经济合同，不承担违约责任，并将其列入此后参与海发能源公司各项经济活动的禁入名单；触犯刑事法律法规的移交司法机关处理。</w:t>
      </w:r>
    </w:p>
    <w:p>
      <w:pPr>
        <w:spacing w:line="440" w:lineRule="exact"/>
        <w:ind w:firstLine="480" w:firstLineChars="200"/>
        <w:rPr>
          <w:rFonts w:ascii="宋体" w:hAnsi="宋体"/>
          <w:sz w:val="24"/>
          <w:szCs w:val="24"/>
        </w:rPr>
      </w:pPr>
      <w:r>
        <w:rPr>
          <w:rFonts w:hint="eastAsia" w:ascii="宋体" w:hAnsi="宋体"/>
          <w:sz w:val="24"/>
          <w:szCs w:val="24"/>
        </w:rPr>
        <w:t>四、甲方人员不得私自向乙方推销经济活动中的有关产品或推介经营单位。</w:t>
      </w:r>
    </w:p>
    <w:p>
      <w:pPr>
        <w:spacing w:line="440" w:lineRule="exact"/>
        <w:ind w:firstLine="480" w:firstLineChars="200"/>
        <w:rPr>
          <w:rFonts w:ascii="宋体" w:hAnsi="宋体"/>
          <w:sz w:val="24"/>
          <w:szCs w:val="24"/>
        </w:rPr>
      </w:pPr>
      <w:r>
        <w:rPr>
          <w:rFonts w:hint="eastAsia" w:ascii="宋体" w:hAnsi="宋体"/>
          <w:sz w:val="24"/>
          <w:szCs w:val="24"/>
        </w:rPr>
        <w:t>五、甲、乙双方工作人员发现上述情形之一，应及时向</w:t>
      </w:r>
      <w:r>
        <w:rPr>
          <w:rFonts w:hint="eastAsia" w:ascii="宋体" w:hAnsi="宋体"/>
          <w:sz w:val="24"/>
        </w:rPr>
        <w:t>海发纪委举报（</w:t>
      </w:r>
      <w:r>
        <w:rPr>
          <w:rFonts w:hint="eastAsia" w:ascii="宋体" w:hAnsi="宋体"/>
          <w:b/>
          <w:sz w:val="24"/>
        </w:rPr>
        <w:t>举报电话：</w:t>
      </w:r>
      <w:r>
        <w:rPr>
          <w:rFonts w:hint="eastAsia" w:ascii="宋体" w:hAnsi="宋体"/>
          <w:b/>
          <w:kern w:val="0"/>
          <w:sz w:val="24"/>
        </w:rPr>
        <w:t>0592-680</w:t>
      </w:r>
      <w:r>
        <w:rPr>
          <w:rFonts w:ascii="宋体" w:hAnsi="宋体"/>
          <w:b/>
          <w:kern w:val="0"/>
          <w:sz w:val="24"/>
        </w:rPr>
        <w:t>0131、</w:t>
      </w:r>
      <w:r>
        <w:rPr>
          <w:rFonts w:hint="eastAsia" w:ascii="宋体" w:hAnsi="宋体"/>
          <w:b/>
          <w:kern w:val="0"/>
          <w:sz w:val="24"/>
        </w:rPr>
        <w:t>6</w:t>
      </w:r>
      <w:r>
        <w:rPr>
          <w:rFonts w:ascii="宋体" w:hAnsi="宋体"/>
          <w:b/>
          <w:kern w:val="0"/>
          <w:sz w:val="24"/>
        </w:rPr>
        <w:t>807596</w:t>
      </w:r>
      <w:r>
        <w:rPr>
          <w:rFonts w:hint="eastAsia" w:ascii="宋体" w:hAnsi="宋体"/>
          <w:sz w:val="24"/>
        </w:rPr>
        <w:t>）</w:t>
      </w:r>
      <w:r>
        <w:rPr>
          <w:rFonts w:hint="eastAsia" w:ascii="宋体" w:hAnsi="宋体"/>
          <w:sz w:val="24"/>
          <w:szCs w:val="24"/>
        </w:rPr>
        <w:t>，纪委应及时受理举报案件，并提出查处意见。</w:t>
      </w:r>
    </w:p>
    <w:p>
      <w:pPr>
        <w:spacing w:line="440" w:lineRule="exact"/>
        <w:ind w:firstLine="480" w:firstLineChars="200"/>
        <w:rPr>
          <w:rFonts w:ascii="宋体" w:hAnsi="宋体"/>
          <w:sz w:val="24"/>
          <w:szCs w:val="24"/>
        </w:rPr>
      </w:pPr>
      <w:r>
        <w:rPr>
          <w:rFonts w:hint="eastAsia" w:ascii="宋体" w:hAnsi="宋体"/>
          <w:sz w:val="24"/>
          <w:szCs w:val="24"/>
        </w:rPr>
        <w:t>六、甲、乙双方项目负责人必须签订廉政责任书。</w:t>
      </w:r>
    </w:p>
    <w:p>
      <w:pPr>
        <w:spacing w:line="440" w:lineRule="exact"/>
        <w:ind w:firstLine="480" w:firstLineChars="200"/>
        <w:rPr>
          <w:rFonts w:ascii="宋体" w:hAnsi="宋体"/>
          <w:sz w:val="24"/>
          <w:szCs w:val="24"/>
        </w:rPr>
      </w:pPr>
      <w:r>
        <w:rPr>
          <w:rFonts w:hint="eastAsia" w:ascii="宋体" w:hAnsi="宋体"/>
          <w:sz w:val="24"/>
          <w:szCs w:val="24"/>
        </w:rPr>
        <w:t>七、本责任书一式三份，甲方二份，乙方一份。</w:t>
      </w:r>
    </w:p>
    <w:p>
      <w:pPr>
        <w:spacing w:line="440" w:lineRule="exact"/>
        <w:ind w:firstLine="480" w:firstLineChars="200"/>
        <w:rPr>
          <w:rFonts w:ascii="宋体" w:hAnsi="宋体"/>
          <w:sz w:val="24"/>
          <w:szCs w:val="24"/>
        </w:rPr>
      </w:pPr>
      <w:r>
        <w:rPr>
          <w:rFonts w:hint="eastAsia" w:ascii="宋体" w:hAnsi="宋体"/>
          <w:sz w:val="24"/>
          <w:szCs w:val="24"/>
        </w:rPr>
        <w:t>八、本责任书自签订之日起生效。</w:t>
      </w: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甲方 (单位盖章)：                      乙方(单位盖章)：</w:t>
      </w: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 xml:space="preserve">甲方项目负责人：                       乙方项目负责人： </w:t>
      </w:r>
    </w:p>
    <w:p>
      <w:pPr>
        <w:spacing w:line="440" w:lineRule="exact"/>
        <w:rPr>
          <w:rFonts w:ascii="宋体" w:hAnsi="宋体"/>
          <w:sz w:val="24"/>
          <w:szCs w:val="24"/>
        </w:rPr>
      </w:pPr>
    </w:p>
    <w:p>
      <w:pPr>
        <w:spacing w:line="440" w:lineRule="exact"/>
        <w:rPr>
          <w:rFonts w:ascii="宋体" w:hAnsi="宋体"/>
          <w:sz w:val="24"/>
          <w:szCs w:val="24"/>
        </w:rPr>
      </w:pPr>
    </w:p>
    <w:p>
      <w:pPr>
        <w:rPr>
          <w:rFonts w:ascii="Times New Roman" w:hAnsi="Times New Roman"/>
          <w:szCs w:val="24"/>
        </w:rPr>
      </w:pPr>
      <w:r>
        <w:rPr>
          <w:rFonts w:hint="eastAsia" w:ascii="宋体" w:hAnsi="宋体"/>
          <w:sz w:val="24"/>
          <w:szCs w:val="24"/>
        </w:rPr>
        <w:t xml:space="preserve">                                    签订日期：   年  月</w:t>
      </w:r>
      <w:r>
        <w:rPr>
          <w:rFonts w:ascii="宋体" w:hAnsi="宋体"/>
          <w:sz w:val="24"/>
          <w:szCs w:val="24"/>
        </w:rPr>
        <w:t xml:space="preserve">  </w:t>
      </w:r>
      <w:r>
        <w:rPr>
          <w:rFonts w:hint="eastAsia" w:ascii="宋体" w:hAnsi="宋体"/>
          <w:sz w:val="24"/>
          <w:szCs w:val="24"/>
        </w:rPr>
        <w:t>日</w:t>
      </w:r>
    </w:p>
    <w:p/>
    <w:p>
      <w:pPr>
        <w:rPr>
          <w:rFonts w:ascii="宋体" w:hAnsi="宋体"/>
          <w:b/>
          <w:sz w:val="32"/>
          <w:szCs w:val="32"/>
        </w:rPr>
      </w:pPr>
    </w:p>
    <w:p>
      <w:pPr>
        <w:rPr>
          <w:rFonts w:ascii="宋体" w:hAnsi="宋体"/>
          <w:b/>
          <w:sz w:val="32"/>
          <w:szCs w:val="32"/>
        </w:rPr>
      </w:pPr>
      <w:r>
        <w:rPr>
          <w:rFonts w:hint="eastAsia" w:ascii="宋体" w:hAnsi="宋体"/>
          <w:b/>
          <w:sz w:val="32"/>
          <w:szCs w:val="32"/>
        </w:rPr>
        <w:t>附件</w:t>
      </w: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27"/>
      <w:bookmarkEnd w:id="28"/>
      <w:bookmarkEnd w:id="29"/>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30" w:name="_Toc3580"/>
      <w:bookmarkStart w:id="31" w:name="_Toc30894"/>
      <w:bookmarkStart w:id="32" w:name="_Toc28305"/>
      <w:r>
        <w:rPr>
          <w:rFonts w:hint="eastAsia"/>
          <w:b/>
          <w:sz w:val="36"/>
          <w:szCs w:val="36"/>
        </w:rPr>
        <w:t>同集事业部无烟煤采购</w:t>
      </w:r>
      <w:r>
        <w:rPr>
          <w:rFonts w:hint="eastAsia"/>
          <w:sz w:val="36"/>
          <w:szCs w:val="36"/>
        </w:rPr>
        <w:t xml:space="preserve"> </w:t>
      </w:r>
    </w:p>
    <w:bookmarkEnd w:id="30"/>
    <w:bookmarkEnd w:id="31"/>
    <w:bookmarkEnd w:id="32"/>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33" w:name="_Toc10610"/>
      <w:bookmarkStart w:id="34" w:name="_Toc12676"/>
      <w:bookmarkStart w:id="35" w:name="_Toc26010"/>
      <w:bookmarkStart w:id="36" w:name="_Toc31210"/>
      <w:bookmarkStart w:id="37"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33"/>
      <w:bookmarkEnd w:id="34"/>
      <w:bookmarkEnd w:id="35"/>
      <w:bookmarkEnd w:id="36"/>
      <w:bookmarkEnd w:id="37"/>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38" w:name="_Toc16600"/>
      <w:bookmarkStart w:id="39" w:name="_Toc22504"/>
      <w:bookmarkStart w:id="40" w:name="_Toc28416"/>
      <w:bookmarkStart w:id="41" w:name="_Toc26421"/>
      <w:bookmarkStart w:id="42" w:name="_Toc2110"/>
      <w:r>
        <w:rPr>
          <w:rFonts w:hint="eastAsia" w:ascii="宋体" w:hAnsi="宋体"/>
          <w:b/>
          <w:bCs/>
          <w:sz w:val="30"/>
          <w:szCs w:val="30"/>
        </w:rPr>
        <w:t>法定代表人或其委托代理人：</w:t>
      </w:r>
      <w:bookmarkEnd w:id="38"/>
      <w:bookmarkEnd w:id="39"/>
      <w:bookmarkEnd w:id="40"/>
      <w:bookmarkEnd w:id="41"/>
      <w:bookmarkEnd w:id="42"/>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43" w:name="_Toc19182"/>
      <w:bookmarkStart w:id="44" w:name="_Toc7425"/>
      <w:bookmarkStart w:id="45" w:name="_Toc7142"/>
      <w:bookmarkStart w:id="46" w:name="_Toc24026"/>
      <w:bookmarkStart w:id="47" w:name="_Toc14233"/>
      <w:r>
        <w:rPr>
          <w:rFonts w:hint="eastAsia" w:ascii="宋体" w:hAnsi="宋体"/>
          <w:b/>
          <w:bCs/>
          <w:sz w:val="28"/>
          <w:szCs w:val="28"/>
        </w:rPr>
        <w:t>报价日期：2025年  月   日</w:t>
      </w:r>
      <w:bookmarkEnd w:id="43"/>
      <w:bookmarkEnd w:id="44"/>
      <w:bookmarkEnd w:id="45"/>
      <w:bookmarkEnd w:id="46"/>
      <w:bookmarkEnd w:id="47"/>
    </w:p>
    <w:p>
      <w:pPr>
        <w:spacing w:before="156" w:beforeLines="50" w:line="400" w:lineRule="atLeast"/>
        <w:ind w:firstLine="562" w:firstLineChars="200"/>
        <w:outlineLvl w:val="0"/>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4"/>
        </w:numPr>
        <w:kinsoku w:val="0"/>
        <w:overflowPunct w:val="0"/>
        <w:adjustRightInd w:val="0"/>
        <w:snapToGrid w:val="0"/>
        <w:spacing w:line="400" w:lineRule="atLeast"/>
        <w:outlineLvl w:val="0"/>
        <w:rPr>
          <w:rFonts w:ascii="宋体" w:hAnsi="宋体"/>
          <w:sz w:val="24"/>
          <w:szCs w:val="24"/>
        </w:rPr>
      </w:pPr>
      <w:bookmarkStart w:id="48" w:name="_Toc13090"/>
      <w:r>
        <w:rPr>
          <w:rFonts w:hint="eastAsia" w:ascii="宋体" w:hAnsi="宋体"/>
          <w:sz w:val="24"/>
          <w:szCs w:val="24"/>
        </w:rPr>
        <w:t>响应函（见附件1）；</w:t>
      </w:r>
      <w:bookmarkEnd w:id="48"/>
    </w:p>
    <w:p>
      <w:pPr>
        <w:numPr>
          <w:ilvl w:val="0"/>
          <w:numId w:val="14"/>
        </w:numPr>
        <w:kinsoku w:val="0"/>
        <w:overflowPunct w:val="0"/>
        <w:adjustRightInd w:val="0"/>
        <w:snapToGrid w:val="0"/>
        <w:spacing w:line="400" w:lineRule="atLeast"/>
        <w:outlineLvl w:val="0"/>
        <w:rPr>
          <w:rFonts w:ascii="宋体" w:hAnsi="宋体"/>
          <w:sz w:val="24"/>
          <w:szCs w:val="24"/>
        </w:rPr>
      </w:pPr>
      <w:bookmarkStart w:id="49"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49"/>
    </w:p>
    <w:p>
      <w:pPr>
        <w:numPr>
          <w:ilvl w:val="0"/>
          <w:numId w:val="14"/>
        </w:numPr>
        <w:kinsoku w:val="0"/>
        <w:overflowPunct w:val="0"/>
        <w:adjustRightInd w:val="0"/>
        <w:snapToGrid w:val="0"/>
        <w:spacing w:line="400" w:lineRule="atLeast"/>
        <w:outlineLvl w:val="0"/>
        <w:rPr>
          <w:rFonts w:ascii="宋体" w:hAnsi="宋体"/>
          <w:sz w:val="24"/>
          <w:szCs w:val="24"/>
        </w:rPr>
      </w:pPr>
      <w:bookmarkStart w:id="50" w:name="_Toc8857"/>
      <w:r>
        <w:rPr>
          <w:rFonts w:hint="eastAsia" w:ascii="宋体" w:hAnsi="宋体"/>
          <w:sz w:val="24"/>
          <w:szCs w:val="24"/>
        </w:rPr>
        <w:t>法定代表人身份证（见附件3）；</w:t>
      </w:r>
    </w:p>
    <w:p>
      <w:pPr>
        <w:numPr>
          <w:ilvl w:val="0"/>
          <w:numId w:val="14"/>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50"/>
    </w:p>
    <w:p>
      <w:pPr>
        <w:numPr>
          <w:ilvl w:val="0"/>
          <w:numId w:val="14"/>
        </w:numPr>
        <w:kinsoku w:val="0"/>
        <w:overflowPunct w:val="0"/>
        <w:adjustRightInd w:val="0"/>
        <w:snapToGrid w:val="0"/>
        <w:spacing w:line="400" w:lineRule="atLeast"/>
        <w:outlineLvl w:val="0"/>
        <w:rPr>
          <w:rFonts w:ascii="宋体" w:hAnsi="宋体"/>
          <w:sz w:val="24"/>
          <w:szCs w:val="24"/>
        </w:rPr>
      </w:pPr>
      <w:bookmarkStart w:id="51" w:name="_Toc2888"/>
      <w:r>
        <w:rPr>
          <w:rFonts w:hint="eastAsia" w:ascii="宋体" w:hAnsi="宋体"/>
          <w:sz w:val="24"/>
          <w:szCs w:val="24"/>
        </w:rPr>
        <w:t xml:space="preserve"> 企业能有效识别二维码且加盖报价单位公章的营业执照复印件（</w:t>
      </w:r>
      <w:r>
        <w:rPr>
          <w:rFonts w:ascii="宋体" w:hAnsi="宋体"/>
          <w:sz w:val="24"/>
          <w:szCs w:val="24"/>
        </w:rPr>
        <w:t>见附件</w:t>
      </w:r>
      <w:r>
        <w:rPr>
          <w:rFonts w:hint="eastAsia" w:ascii="宋体" w:hAnsi="宋体"/>
          <w:sz w:val="24"/>
          <w:szCs w:val="24"/>
        </w:rPr>
        <w:t>6）；</w:t>
      </w:r>
      <w:bookmarkEnd w:id="51"/>
    </w:p>
    <w:p>
      <w:pPr>
        <w:numPr>
          <w:ilvl w:val="0"/>
          <w:numId w:val="14"/>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7）</w:t>
      </w: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tabs>
          <w:tab w:val="left" w:pos="0"/>
        </w:tabs>
        <w:kinsoku w:val="0"/>
        <w:overflowPunct w:val="0"/>
        <w:adjustRightInd w:val="0"/>
        <w:snapToGrid w:val="0"/>
        <w:spacing w:line="400" w:lineRule="atLeast"/>
        <w:outlineLvl w:val="0"/>
        <w:rPr>
          <w:rFonts w:ascii="宋体" w:hAnsi="宋体"/>
          <w:sz w:val="24"/>
          <w:szCs w:val="24"/>
        </w:rPr>
      </w:pPr>
    </w:p>
    <w:p>
      <w:pPr>
        <w:pStyle w:val="21"/>
        <w:keepNext w:val="0"/>
        <w:keepLines w:val="0"/>
        <w:kinsoku w:val="0"/>
        <w:overflowPunct w:val="0"/>
        <w:autoSpaceDE w:val="0"/>
        <w:autoSpaceDN w:val="0"/>
        <w:snapToGrid w:val="0"/>
        <w:spacing w:before="0" w:after="0" w:line="400" w:lineRule="atLeast"/>
        <w:jc w:val="both"/>
        <w:rPr>
          <w:rFonts w:eastAsia="宋体" w:cs="宋体"/>
          <w:bCs/>
          <w:szCs w:val="32"/>
        </w:rPr>
      </w:pPr>
      <w:bookmarkStart w:id="52" w:name="_Toc29175_WPSOffice_Level1"/>
      <w:bookmarkStart w:id="53" w:name="_Toc2425_WPSOffice_Level2"/>
      <w:r>
        <w:rPr>
          <w:rFonts w:hint="eastAsia" w:eastAsia="宋体" w:cs="宋体"/>
          <w:b w:val="0"/>
          <w:szCs w:val="32"/>
        </w:rPr>
        <w:t>附件1</w:t>
      </w:r>
    </w:p>
    <w:p>
      <w:pPr>
        <w:pStyle w:val="21"/>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52"/>
      <w:bookmarkEnd w:id="53"/>
    </w:p>
    <w:p>
      <w:pPr>
        <w:pStyle w:val="21"/>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5"/>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我方已仔细研究了同集事业部无烟煤采购 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w:t>
      </w:r>
      <w:r>
        <w:rPr>
          <w:rFonts w:hint="eastAsia" w:ascii="宋体" w:hAnsi="宋体" w:cs="宋体"/>
          <w:spacing w:val="-4"/>
          <w:sz w:val="24"/>
          <w:szCs w:val="24"/>
          <w:lang w:val="en-US" w:eastAsia="zh-CN"/>
        </w:rPr>
        <w:t>5</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3"/>
        <w:tblW w:w="800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7"/>
        <w:gridCol w:w="1575"/>
        <w:gridCol w:w="1275"/>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97"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1575"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ascii="宋体" w:hAnsi="宋体" w:eastAsia="宋体" w:cs="Times New Roman"/>
                <w:kern w:val="0"/>
                <w:sz w:val="24"/>
                <w:szCs w:val="24"/>
              </w:rPr>
              <w:t>）</w:t>
            </w:r>
          </w:p>
        </w:tc>
        <w:tc>
          <w:tcPr>
            <w:tcW w:w="1275"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r>
              <w:rPr>
                <w:rFonts w:ascii="宋体" w:hAnsi="宋体" w:eastAsia="宋体" w:cs="Times New Roman"/>
                <w:kern w:val="0"/>
                <w:sz w:val="24"/>
                <w:szCs w:val="24"/>
              </w:rPr>
              <w:t>（</w:t>
            </w:r>
            <w:r>
              <w:rPr>
                <w:rFonts w:hint="eastAsia" w:ascii="宋体" w:hAnsi="宋体" w:eastAsia="宋体" w:cs="Times New Roman"/>
                <w:kern w:val="0"/>
                <w:sz w:val="24"/>
                <w:szCs w:val="24"/>
              </w:rPr>
              <w:t>吨</w:t>
            </w:r>
            <w:r>
              <w:rPr>
                <w:rFonts w:ascii="宋体" w:hAnsi="宋体" w:eastAsia="宋体" w:cs="Times New Roman"/>
                <w:kern w:val="0"/>
                <w:sz w:val="24"/>
                <w:szCs w:val="24"/>
              </w:rPr>
              <w:t>）</w:t>
            </w:r>
          </w:p>
        </w:tc>
        <w:tc>
          <w:tcPr>
            <w:tcW w:w="1080"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含税合计金额（元）</w:t>
            </w:r>
          </w:p>
        </w:tc>
        <w:tc>
          <w:tcPr>
            <w:tcW w:w="1080"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2997" w:type="dxa"/>
            <w:vAlign w:val="center"/>
          </w:tcPr>
          <w:p>
            <w:pPr>
              <w:widowControl/>
              <w:spacing w:line="276" w:lineRule="auto"/>
              <w:jc w:val="center"/>
              <w:rPr>
                <w:rFonts w:ascii="宋体" w:hAnsi="宋体" w:eastAsia="宋体" w:cs="Times New Roman"/>
                <w:kern w:val="0"/>
                <w:sz w:val="24"/>
                <w:szCs w:val="20"/>
              </w:rPr>
            </w:pPr>
            <w:r>
              <w:rPr>
                <w:rFonts w:hint="eastAsia" w:ascii="宋体" w:hAnsi="宋体" w:eastAsia="宋体" w:cs="Times New Roman"/>
                <w:kern w:val="0"/>
                <w:sz w:val="24"/>
                <w:szCs w:val="20"/>
              </w:rPr>
              <w:t xml:space="preserve">无烟煤 </w:t>
            </w:r>
          </w:p>
          <w:p>
            <w:pPr>
              <w:widowControl/>
              <w:spacing w:line="276" w:lineRule="auto"/>
              <w:jc w:val="center"/>
              <w:rPr>
                <w:rFonts w:ascii="宋体" w:hAnsi="宋体" w:eastAsia="宋体" w:cs="Times New Roman"/>
                <w:kern w:val="0"/>
                <w:sz w:val="24"/>
                <w:szCs w:val="24"/>
              </w:rPr>
            </w:pPr>
            <w:r>
              <w:rPr>
                <w:rFonts w:ascii="宋体" w:hAnsi="宋体" w:eastAsia="宋体" w:cs="Times New Roman"/>
                <w:kern w:val="0"/>
                <w:sz w:val="24"/>
                <w:szCs w:val="20"/>
              </w:rPr>
              <w:t>(</w:t>
            </w:r>
            <w:r>
              <w:rPr>
                <w:rFonts w:hint="eastAsia" w:ascii="宋体" w:hAnsi="宋体" w:eastAsia="宋体" w:cs="宋体"/>
                <w:kern w:val="0"/>
                <w:sz w:val="24"/>
                <w:szCs w:val="24"/>
              </w:rPr>
              <w:t>热值</w:t>
            </w:r>
            <w:r>
              <w:rPr>
                <w:rFonts w:hint="eastAsia" w:ascii="Arial" w:hAnsi="Arial" w:eastAsia="宋体" w:cs="Arial"/>
                <w:szCs w:val="21"/>
                <w:shd w:val="clear" w:color="auto" w:fill="FFFFFF"/>
              </w:rPr>
              <w:t>48</w:t>
            </w:r>
            <w:r>
              <w:rPr>
                <w:rFonts w:ascii="Arial" w:hAnsi="Arial" w:eastAsia="Arial" w:cs="Arial"/>
                <w:szCs w:val="21"/>
                <w:shd w:val="clear" w:color="auto" w:fill="FFFFFF"/>
              </w:rPr>
              <w:t>00 ±</w:t>
            </w:r>
            <w:r>
              <w:rPr>
                <w:rFonts w:hint="eastAsia" w:ascii="Arial" w:hAnsi="Arial" w:eastAsia="宋体" w:cs="Arial"/>
                <w:szCs w:val="21"/>
                <w:shd w:val="clear" w:color="auto" w:fill="FFFFFF"/>
              </w:rPr>
              <w:t>2</w:t>
            </w:r>
            <w:r>
              <w:rPr>
                <w:rFonts w:ascii="Arial" w:hAnsi="Arial" w:eastAsia="Arial" w:cs="Arial"/>
                <w:szCs w:val="21"/>
                <w:shd w:val="clear" w:color="auto" w:fill="FFFFFF"/>
              </w:rPr>
              <w:t>00</w:t>
            </w:r>
            <w:r>
              <w:rPr>
                <w:rFonts w:hint="eastAsia" w:ascii="宋体" w:hAnsi="宋体" w:eastAsia="宋体" w:cs="宋体"/>
                <w:kern w:val="0"/>
                <w:sz w:val="24"/>
                <w:szCs w:val="24"/>
              </w:rPr>
              <w:t>大卡/千克</w:t>
            </w:r>
            <w:r>
              <w:rPr>
                <w:rFonts w:ascii="宋体" w:hAnsi="宋体" w:eastAsia="宋体" w:cs="宋体"/>
                <w:kern w:val="0"/>
                <w:sz w:val="24"/>
                <w:szCs w:val="24"/>
              </w:rPr>
              <w:t>，全硫分</w:t>
            </w:r>
            <w:r>
              <w:rPr>
                <w:rFonts w:hint="eastAsia" w:ascii="宋体" w:hAnsi="宋体" w:eastAsia="宋体" w:cs="Times New Roman"/>
                <w:kern w:val="0"/>
                <w:sz w:val="24"/>
                <w:szCs w:val="24"/>
              </w:rPr>
              <w:t>≤0.</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Arial" w:hAnsi="Arial" w:eastAsia="宋体" w:cs="Arial"/>
                <w:kern w:val="0"/>
                <w:sz w:val="20"/>
                <w:szCs w:val="21"/>
                <w:shd w:val="clear" w:color="auto" w:fill="FFFFFF"/>
              </w:rPr>
              <w:t>，</w:t>
            </w:r>
            <w:r>
              <w:rPr>
                <w:rFonts w:hint="eastAsia" w:ascii="宋体" w:hAnsi="宋体" w:eastAsia="宋体" w:cs="Times New Roman"/>
                <w:kern w:val="0"/>
                <w:sz w:val="24"/>
                <w:szCs w:val="24"/>
              </w:rPr>
              <w:t>水分≤8%，</w:t>
            </w:r>
            <w:r>
              <w:rPr>
                <w:rFonts w:hint="eastAsia" w:ascii="宋体" w:hAnsi="宋体" w:cs="宋体"/>
                <w:sz w:val="24"/>
                <w:szCs w:val="24"/>
              </w:rPr>
              <w:t>空干基灰分≤ 30%， 空干基挥发分≤ 6%</w:t>
            </w:r>
          </w:p>
        </w:tc>
        <w:tc>
          <w:tcPr>
            <w:tcW w:w="1575" w:type="dxa"/>
            <w:vAlign w:val="center"/>
          </w:tcPr>
          <w:p>
            <w:pPr>
              <w:widowControl/>
              <w:spacing w:line="500" w:lineRule="exact"/>
              <w:jc w:val="center"/>
              <w:rPr>
                <w:rFonts w:ascii="宋体" w:hAnsi="宋体" w:eastAsia="宋体" w:cs="Times New Roman"/>
                <w:kern w:val="0"/>
                <w:sz w:val="24"/>
                <w:szCs w:val="24"/>
              </w:rPr>
            </w:pPr>
          </w:p>
        </w:tc>
        <w:tc>
          <w:tcPr>
            <w:tcW w:w="1275"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1000</w:t>
            </w:r>
          </w:p>
        </w:tc>
        <w:tc>
          <w:tcPr>
            <w:tcW w:w="1080" w:type="dxa"/>
            <w:vAlign w:val="center"/>
          </w:tcPr>
          <w:p>
            <w:pPr>
              <w:widowControl/>
              <w:spacing w:line="500" w:lineRule="exact"/>
              <w:jc w:val="center"/>
              <w:rPr>
                <w:rFonts w:ascii="宋体" w:hAnsi="宋体" w:eastAsia="宋体" w:cs="Times New Roman"/>
                <w:kern w:val="0"/>
                <w:sz w:val="24"/>
                <w:szCs w:val="24"/>
              </w:rPr>
            </w:pPr>
          </w:p>
        </w:tc>
        <w:tc>
          <w:tcPr>
            <w:tcW w:w="1080" w:type="dxa"/>
            <w:vAlign w:val="center"/>
          </w:tcPr>
          <w:p>
            <w:pPr>
              <w:widowControl/>
              <w:spacing w:line="50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007" w:type="dxa"/>
            <w:gridSpan w:val="5"/>
            <w:vAlign w:val="center"/>
          </w:tcPr>
          <w:p>
            <w:pPr>
              <w:widowControl/>
              <w:jc w:val="left"/>
              <w:rPr>
                <w:rFonts w:ascii="宋体" w:hAnsi="宋体" w:eastAsia="宋体" w:cs="宋体"/>
                <w:kern w:val="0"/>
                <w:sz w:val="20"/>
                <w:szCs w:val="21"/>
              </w:rPr>
            </w:pPr>
            <w:r>
              <w:rPr>
                <w:rFonts w:ascii="宋体" w:hAnsi="宋体" w:eastAsia="宋体" w:cs="宋体"/>
                <w:kern w:val="0"/>
                <w:sz w:val="20"/>
                <w:szCs w:val="21"/>
              </w:rPr>
              <w:t>说明：</w:t>
            </w:r>
          </w:p>
          <w:p>
            <w:pPr>
              <w:widowControl/>
              <w:jc w:val="left"/>
              <w:rPr>
                <w:rFonts w:ascii="宋体" w:hAnsi="宋体" w:eastAsia="宋体" w:cs="宋体"/>
                <w:kern w:val="0"/>
                <w:sz w:val="20"/>
                <w:szCs w:val="21"/>
              </w:rPr>
            </w:pPr>
            <w:r>
              <w:rPr>
                <w:rFonts w:ascii="宋体" w:hAnsi="宋体" w:eastAsia="宋体" w:cs="宋体"/>
                <w:kern w:val="0"/>
                <w:sz w:val="20"/>
                <w:szCs w:val="21"/>
              </w:rPr>
              <w:t>1、</w:t>
            </w:r>
            <w:r>
              <w:rPr>
                <w:rFonts w:hint="eastAsia" w:ascii="宋体" w:hAnsi="宋体" w:eastAsia="宋体" w:cs="宋体"/>
                <w:kern w:val="0"/>
                <w:sz w:val="20"/>
                <w:szCs w:val="21"/>
              </w:rPr>
              <w:t>谈判保证金为人民币壹万元整（</w:t>
            </w:r>
            <w:r>
              <w:rPr>
                <w:rFonts w:hint="eastAsia" w:eastAsia="宋体" w:cs="宋体" w:asciiTheme="minorEastAsia" w:hAnsiTheme="minorEastAsia"/>
                <w:kern w:val="0"/>
                <w:sz w:val="20"/>
                <w:szCs w:val="21"/>
              </w:rPr>
              <w:t>¥10</w:t>
            </w:r>
            <w:r>
              <w:rPr>
                <w:rFonts w:hint="eastAsia" w:ascii="宋体" w:hAnsi="宋体" w:eastAsia="宋体" w:cs="宋体"/>
                <w:kern w:val="0"/>
                <w:sz w:val="20"/>
                <w:szCs w:val="21"/>
              </w:rPr>
              <w:t>000.00）。</w:t>
            </w:r>
          </w:p>
          <w:p>
            <w:pPr>
              <w:widowControl/>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2、以最低单价为成交价，报价以4800大卡/千克为基准。</w:t>
            </w:r>
          </w:p>
          <w:p>
            <w:pPr>
              <w:widowControl/>
              <w:jc w:val="left"/>
              <w:rPr>
                <w:rFonts w:ascii="宋体" w:hAnsi="宋体" w:eastAsia="宋体" w:cs="宋体"/>
                <w:kern w:val="0"/>
                <w:sz w:val="20"/>
                <w:szCs w:val="21"/>
              </w:rPr>
            </w:pPr>
            <w:r>
              <w:rPr>
                <w:rFonts w:hint="eastAsia" w:ascii="Times New Roman" w:hAnsi="Times New Roman" w:eastAsia="宋体" w:cs="Times New Roman"/>
                <w:kern w:val="0"/>
                <w:sz w:val="20"/>
                <w:szCs w:val="21"/>
              </w:rPr>
              <w:t>3、</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w:t>
      </w:r>
      <w:r>
        <w:rPr>
          <w:rFonts w:hint="eastAsia" w:ascii="宋体" w:hAnsi="宋体"/>
          <w:kern w:val="0"/>
          <w:sz w:val="28"/>
          <w:szCs w:val="28"/>
        </w:rPr>
        <w:t xml:space="preserve">5年 </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kern w:val="0"/>
          <w:sz w:val="30"/>
          <w:szCs w:val="30"/>
        </w:rPr>
      </w:pPr>
    </w:p>
    <w:p>
      <w:pPr>
        <w:widowControl/>
        <w:wordWrap w:val="0"/>
        <w:spacing w:line="480" w:lineRule="atLeast"/>
        <w:ind w:right="440"/>
        <w:rPr>
          <w:rFonts w:ascii="微软雅黑" w:hAnsi="微软雅黑" w:eastAsia="微软雅黑" w:cs="宋体"/>
          <w:kern w:val="0"/>
          <w:sz w:val="30"/>
          <w:szCs w:val="30"/>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30"/>
          <w:szCs w:val="30"/>
        </w:rPr>
        <w:t>附</w:t>
      </w:r>
      <w:r>
        <w:rPr>
          <w:rFonts w:ascii="微软雅黑" w:hAnsi="微软雅黑" w:eastAsia="微软雅黑" w:cs="宋体"/>
          <w:kern w:val="0"/>
          <w:sz w:val="30"/>
          <w:szCs w:val="30"/>
        </w:rPr>
        <w:t>件</w:t>
      </w:r>
      <w:r>
        <w:rPr>
          <w:rFonts w:hint="eastAsia" w:ascii="微软雅黑" w:hAnsi="微软雅黑" w:eastAsia="微软雅黑" w:cs="宋体"/>
          <w:kern w:val="0"/>
          <w:sz w:val="30"/>
          <w:szCs w:val="30"/>
        </w:rPr>
        <w:t>3</w:t>
      </w:r>
      <w:r>
        <w:rPr>
          <w:rFonts w:ascii="微软雅黑" w:hAnsi="微软雅黑" w:eastAsia="微软雅黑" w:cs="宋体"/>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ascii="宋体" w:hAnsi="宋体" w:eastAsia="宋体" w:cs="Times New Roman"/>
          <w:bCs/>
          <w:sz w:val="28"/>
          <w:szCs w:val="28"/>
        </w:rPr>
      </w:pPr>
      <w:r>
        <w:rPr>
          <w:rFonts w:hint="eastAsia" w:ascii="宋体" w:hAnsi="宋体" w:eastAsia="宋体" w:cs="宋体"/>
          <w:sz w:val="28"/>
          <w:szCs w:val="28"/>
        </w:rPr>
        <w:t>授权声明</w:t>
      </w:r>
      <w:r>
        <w:rPr>
          <w:rFonts w:hint="eastAsia"/>
          <w:sz w:val="24"/>
          <w:szCs w:val="24"/>
          <w:u w:val="single"/>
        </w:rPr>
        <w:t>（报价单位名称）</w:t>
      </w:r>
      <w:r>
        <w:rPr>
          <w:rFonts w:hint="eastAsia" w:ascii="宋体" w:hAnsi="宋体" w:eastAsia="宋体" w:cs="Times New Roman"/>
          <w:sz w:val="28"/>
          <w:szCs w:val="28"/>
        </w:rPr>
        <w:t>授权</w:t>
      </w:r>
      <w:r>
        <w:rPr>
          <w:rFonts w:hint="eastAsia"/>
          <w:sz w:val="24"/>
          <w:szCs w:val="24"/>
          <w:u w:val="single"/>
        </w:rPr>
        <w:t>（授权代理人）</w:t>
      </w:r>
      <w:r>
        <w:rPr>
          <w:rFonts w:hint="eastAsia" w:ascii="宋体" w:hAnsi="宋体" w:eastAsia="宋体" w:cs="Times New Roman"/>
          <w:sz w:val="28"/>
          <w:szCs w:val="28"/>
        </w:rPr>
        <w:t>为我公司的代理人，以本公司的名义负责</w:t>
      </w:r>
      <w:r>
        <w:rPr>
          <w:rFonts w:hint="eastAsia" w:ascii="宋体" w:hAnsi="宋体" w:eastAsia="宋体" w:cs="Times New Roman"/>
          <w:bCs/>
          <w:sz w:val="28"/>
          <w:szCs w:val="28"/>
        </w:rPr>
        <w:t>参与厦门海发环保能源股份有限公司</w:t>
      </w:r>
      <w:r>
        <w:rPr>
          <w:rFonts w:hint="eastAsia" w:ascii="宋体" w:hAnsi="宋体" w:cs="宋体"/>
          <w:spacing w:val="-4"/>
          <w:sz w:val="28"/>
          <w:szCs w:val="28"/>
          <w:u w:val="single"/>
        </w:rPr>
        <w:t>同集事业部无烟煤</w:t>
      </w:r>
      <w:r>
        <w:rPr>
          <w:rFonts w:ascii="宋体" w:hAnsi="宋体" w:eastAsia="宋体" w:cs="Times New Roman"/>
          <w:bCs/>
          <w:sz w:val="28"/>
          <w:szCs w:val="28"/>
          <w:u w:val="single"/>
        </w:rPr>
        <w:t>采购</w:t>
      </w:r>
      <w:r>
        <w:rPr>
          <w:rFonts w:hint="eastAsia" w:ascii="宋体" w:hAnsi="宋体" w:eastAsia="宋体" w:cs="Times New Roman"/>
          <w:bCs/>
          <w:sz w:val="28"/>
          <w:szCs w:val="28"/>
        </w:rPr>
        <w:t>项目的报价，该代理人在报价及后续的合同执行过程中，出具的所有文件需加盖我司公章或合同章后方生效。本授权书于</w:t>
      </w:r>
      <w:r>
        <w:rPr>
          <w:rFonts w:ascii="宋体" w:hAnsi="宋体" w:eastAsia="宋体" w:cs="Times New Roman"/>
          <w:bCs/>
          <w:sz w:val="28"/>
          <w:szCs w:val="28"/>
          <w:u w:val="single"/>
        </w:rPr>
        <w:t xml:space="preserve"> 202</w:t>
      </w:r>
      <w:r>
        <w:rPr>
          <w:rFonts w:hint="eastAsia" w:ascii="宋体" w:hAnsi="宋体" w:eastAsia="宋体" w:cs="Times New Roman"/>
          <w:bCs/>
          <w:sz w:val="28"/>
          <w:szCs w:val="28"/>
          <w:u w:val="single"/>
        </w:rPr>
        <w:t>5</w:t>
      </w:r>
      <w:r>
        <w:rPr>
          <w:rFonts w:hint="eastAsia" w:ascii="宋体" w:hAnsi="宋体" w:eastAsia="宋体" w:cs="Times New Roman"/>
          <w:bCs/>
          <w:sz w:val="28"/>
          <w:szCs w:val="28"/>
        </w:rPr>
        <w:t>年</w:t>
      </w:r>
      <w:r>
        <w:rPr>
          <w:rFonts w:hint="eastAsia" w:ascii="宋体" w:hAnsi="宋体" w:eastAsia="宋体" w:cs="Times New Roman"/>
          <w:bCs/>
          <w:sz w:val="28"/>
          <w:szCs w:val="28"/>
          <w:u w:val="single"/>
        </w:rPr>
        <w:t xml:space="preserve">    </w:t>
      </w:r>
      <w:r>
        <w:rPr>
          <w:rFonts w:hint="eastAsia" w:ascii="宋体" w:hAnsi="宋体" w:eastAsia="宋体" w:cs="Times New Roman"/>
          <w:bCs/>
          <w:sz w:val="28"/>
          <w:szCs w:val="28"/>
        </w:rPr>
        <w:t>月</w:t>
      </w:r>
      <w:r>
        <w:rPr>
          <w:rFonts w:hint="eastAsia" w:ascii="宋体" w:hAnsi="宋体" w:eastAsia="宋体" w:cs="Times New Roman"/>
          <w:bCs/>
          <w:sz w:val="28"/>
          <w:szCs w:val="28"/>
          <w:u w:val="single"/>
        </w:rPr>
        <w:t xml:space="preserve">     </w:t>
      </w:r>
      <w:r>
        <w:rPr>
          <w:rFonts w:hint="eastAsia" w:ascii="宋体" w:hAnsi="宋体" w:eastAsia="宋体" w:cs="Times New Roman"/>
          <w:bCs/>
          <w:sz w:val="28"/>
          <w:szCs w:val="28"/>
        </w:rPr>
        <w:t>日之</w:t>
      </w:r>
      <w:r>
        <w:rPr>
          <w:rFonts w:ascii="宋体" w:hAnsi="宋体" w:eastAsia="宋体" w:cs="Times New Roman"/>
          <w:bCs/>
          <w:sz w:val="28"/>
          <w:szCs w:val="28"/>
        </w:rPr>
        <w:t>日起</w:t>
      </w:r>
      <w:r>
        <w:rPr>
          <w:rFonts w:hint="eastAsia" w:ascii="宋体" w:hAnsi="宋体" w:eastAsia="宋体" w:cs="Times New Roman"/>
          <w:bCs/>
          <w:sz w:val="28"/>
          <w:szCs w:val="28"/>
        </w:rPr>
        <w:t>生效，特此声明。</w:t>
      </w:r>
    </w:p>
    <w:p>
      <w:pPr>
        <w:adjustRightInd w:val="0"/>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1"/>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1"/>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1"/>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1"/>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tabs>
          <w:tab w:val="left" w:pos="0"/>
        </w:tabs>
        <w:kinsoku w:val="0"/>
        <w:overflowPunct w:val="0"/>
        <w:snapToGrid w:val="0"/>
        <w:spacing w:line="440" w:lineRule="atLeast"/>
        <w:rPr>
          <w:rFonts w:ascii="宋体" w:hAnsi="宋体"/>
          <w:sz w:val="28"/>
          <w:szCs w:val="28"/>
        </w:rPr>
      </w:pPr>
      <w:r>
        <w:rPr>
          <w:rFonts w:hint="eastAsia" w:ascii="宋体" w:hAnsi="宋体" w:eastAsia="宋体"/>
          <w:sz w:val="28"/>
          <w:szCs w:val="28"/>
        </w:rPr>
        <w:t>附件5：</w:t>
      </w:r>
      <w:r>
        <w:rPr>
          <w:rFonts w:hint="eastAsia" w:ascii="宋体" w:hAnsi="宋体"/>
          <w:bCs/>
          <w:sz w:val="28"/>
          <w:szCs w:val="28"/>
        </w:rPr>
        <w:t xml:space="preserve">  </w:t>
      </w:r>
      <w:r>
        <w:rPr>
          <w:rFonts w:hint="eastAsia" w:ascii="宋体" w:hAnsi="宋体"/>
          <w:b/>
          <w:sz w:val="36"/>
          <w:szCs w:val="36"/>
        </w:rPr>
        <w:t xml:space="preserve"> </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附件6：报价</w:t>
      </w:r>
      <w:r>
        <w:rPr>
          <w:rFonts w:ascii="宋体" w:hAnsi="宋体"/>
          <w:sz w:val="28"/>
          <w:szCs w:val="28"/>
        </w:rPr>
        <w:t>方认为需要提供的其他资料</w:t>
      </w:r>
    </w:p>
    <w:p>
      <w:pPr>
        <w:rPr>
          <w:rFonts w:ascii="宋体" w:hAnsi="宋体" w:eastAsia="宋体"/>
          <w:sz w:val="24"/>
          <w:szCs w:val="24"/>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0A6E379"/>
    <w:multiLevelType w:val="singleLevel"/>
    <w:tmpl w:val="20A6E379"/>
    <w:lvl w:ilvl="0" w:tentative="0">
      <w:start w:val="1"/>
      <w:numFmt w:val="decimal"/>
      <w:suff w:val="nothing"/>
      <w:lvlText w:val="（%1）"/>
      <w:lvlJc w:val="left"/>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6F24D018"/>
    <w:multiLevelType w:val="singleLevel"/>
    <w:tmpl w:val="6F24D018"/>
    <w:lvl w:ilvl="0" w:tentative="0">
      <w:start w:val="7"/>
      <w:numFmt w:val="chineseCounting"/>
      <w:suff w:val="space"/>
      <w:lvlText w:val="第%1条"/>
      <w:lvlJc w:val="left"/>
      <w:rPr>
        <w:rFonts w:hint="eastAsia"/>
      </w:rPr>
    </w:lvl>
  </w:abstractNum>
  <w:abstractNum w:abstractNumId="14">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11"/>
  </w:num>
  <w:num w:numId="2">
    <w:abstractNumId w:val="4"/>
  </w:num>
  <w:num w:numId="3">
    <w:abstractNumId w:val="5"/>
  </w:num>
  <w:num w:numId="4">
    <w:abstractNumId w:val="14"/>
  </w:num>
  <w:num w:numId="5">
    <w:abstractNumId w:val="3"/>
  </w:num>
  <w:num w:numId="6">
    <w:abstractNumId w:val="6"/>
  </w:num>
  <w:num w:numId="7">
    <w:abstractNumId w:val="9"/>
  </w:num>
  <w:num w:numId="8">
    <w:abstractNumId w:val="1"/>
  </w:num>
  <w:num w:numId="9">
    <w:abstractNumId w:val="8"/>
  </w:num>
  <w:num w:numId="10">
    <w:abstractNumId w:val="12"/>
  </w:num>
  <w:num w:numId="11">
    <w:abstractNumId w:val="7"/>
  </w:num>
  <w:num w:numId="12">
    <w:abstractNumId w:val="10"/>
  </w:num>
  <w:num w:numId="13">
    <w:abstractNumId w:val="13"/>
  </w:num>
  <w:num w:numId="14">
    <w:abstractNumId w:val="2"/>
  </w:num>
  <w:num w:numId="15">
    <w:abstractNumId w:val="0"/>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0OGMyN2I4MjFlZmJmNjU5ODE4MTdjODQ4NDM2YjkifQ=="/>
    <w:docVar w:name="KSO_WPS_MARK_KEY" w:val="336c3ea1-4176-40b8-a65d-81ffa0155a17"/>
  </w:docVars>
  <w:rsids>
    <w:rsidRoot w:val="003E3D3F"/>
    <w:rsid w:val="00026474"/>
    <w:rsid w:val="00031D36"/>
    <w:rsid w:val="00050D8D"/>
    <w:rsid w:val="000800FF"/>
    <w:rsid w:val="00095D6D"/>
    <w:rsid w:val="000A243A"/>
    <w:rsid w:val="000C132A"/>
    <w:rsid w:val="000E0533"/>
    <w:rsid w:val="00125DB9"/>
    <w:rsid w:val="00163AE1"/>
    <w:rsid w:val="00176710"/>
    <w:rsid w:val="001C4C0F"/>
    <w:rsid w:val="00223D06"/>
    <w:rsid w:val="002416EE"/>
    <w:rsid w:val="0024527F"/>
    <w:rsid w:val="00262D0E"/>
    <w:rsid w:val="00270A76"/>
    <w:rsid w:val="002A1CED"/>
    <w:rsid w:val="002D60AE"/>
    <w:rsid w:val="002D6385"/>
    <w:rsid w:val="002F7541"/>
    <w:rsid w:val="00324D22"/>
    <w:rsid w:val="00350970"/>
    <w:rsid w:val="003717EB"/>
    <w:rsid w:val="0038218F"/>
    <w:rsid w:val="00383291"/>
    <w:rsid w:val="0038677E"/>
    <w:rsid w:val="003A659B"/>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C2458"/>
    <w:rsid w:val="004E6E83"/>
    <w:rsid w:val="004F2391"/>
    <w:rsid w:val="005019B0"/>
    <w:rsid w:val="00504346"/>
    <w:rsid w:val="0051243F"/>
    <w:rsid w:val="00515D56"/>
    <w:rsid w:val="005337C3"/>
    <w:rsid w:val="005530F3"/>
    <w:rsid w:val="005733C1"/>
    <w:rsid w:val="005943F7"/>
    <w:rsid w:val="005B766B"/>
    <w:rsid w:val="005C25BB"/>
    <w:rsid w:val="005C4C0E"/>
    <w:rsid w:val="005E6B96"/>
    <w:rsid w:val="005F3F3E"/>
    <w:rsid w:val="00613635"/>
    <w:rsid w:val="00631BDF"/>
    <w:rsid w:val="0064428A"/>
    <w:rsid w:val="00660F2A"/>
    <w:rsid w:val="0069135F"/>
    <w:rsid w:val="00696993"/>
    <w:rsid w:val="006A33C8"/>
    <w:rsid w:val="00701797"/>
    <w:rsid w:val="00702568"/>
    <w:rsid w:val="007117EE"/>
    <w:rsid w:val="0074724D"/>
    <w:rsid w:val="00754E4D"/>
    <w:rsid w:val="00756BEA"/>
    <w:rsid w:val="00760B20"/>
    <w:rsid w:val="007928C6"/>
    <w:rsid w:val="007A1322"/>
    <w:rsid w:val="007A77CE"/>
    <w:rsid w:val="007A7E20"/>
    <w:rsid w:val="00852CDE"/>
    <w:rsid w:val="00864DDC"/>
    <w:rsid w:val="00867FC8"/>
    <w:rsid w:val="00881626"/>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D457C"/>
    <w:rsid w:val="00AF683C"/>
    <w:rsid w:val="00B364D7"/>
    <w:rsid w:val="00B52C99"/>
    <w:rsid w:val="00B837F8"/>
    <w:rsid w:val="00B90DCD"/>
    <w:rsid w:val="00B91873"/>
    <w:rsid w:val="00B94883"/>
    <w:rsid w:val="00B9651A"/>
    <w:rsid w:val="00BA12C3"/>
    <w:rsid w:val="00BB3ED4"/>
    <w:rsid w:val="00BB4F50"/>
    <w:rsid w:val="00BC459F"/>
    <w:rsid w:val="00C70350"/>
    <w:rsid w:val="00C90576"/>
    <w:rsid w:val="00CC324F"/>
    <w:rsid w:val="00CD1503"/>
    <w:rsid w:val="00CE2BE3"/>
    <w:rsid w:val="00CE7F26"/>
    <w:rsid w:val="00D112E8"/>
    <w:rsid w:val="00D31227"/>
    <w:rsid w:val="00D43597"/>
    <w:rsid w:val="00D44C2C"/>
    <w:rsid w:val="00D513A8"/>
    <w:rsid w:val="00D819C9"/>
    <w:rsid w:val="00D870F6"/>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263529E"/>
    <w:rsid w:val="08B35AF0"/>
    <w:rsid w:val="093D129D"/>
    <w:rsid w:val="0A613F21"/>
    <w:rsid w:val="0CE57DB5"/>
    <w:rsid w:val="10197BD0"/>
    <w:rsid w:val="10345F75"/>
    <w:rsid w:val="10CF3AE8"/>
    <w:rsid w:val="11936831"/>
    <w:rsid w:val="11C45D3C"/>
    <w:rsid w:val="14A726C3"/>
    <w:rsid w:val="17C351A6"/>
    <w:rsid w:val="1AEB1B3A"/>
    <w:rsid w:val="1BA365A2"/>
    <w:rsid w:val="1DAC6D5F"/>
    <w:rsid w:val="1F0D4721"/>
    <w:rsid w:val="1F355D84"/>
    <w:rsid w:val="214B430B"/>
    <w:rsid w:val="23B04D6E"/>
    <w:rsid w:val="281A62D9"/>
    <w:rsid w:val="28C7289E"/>
    <w:rsid w:val="290C4EF0"/>
    <w:rsid w:val="2C8F77BF"/>
    <w:rsid w:val="2D1C12D9"/>
    <w:rsid w:val="30C63C72"/>
    <w:rsid w:val="311A69FB"/>
    <w:rsid w:val="33243F39"/>
    <w:rsid w:val="341879C4"/>
    <w:rsid w:val="350E439E"/>
    <w:rsid w:val="37180F86"/>
    <w:rsid w:val="38512A84"/>
    <w:rsid w:val="393E53ED"/>
    <w:rsid w:val="3BF601A5"/>
    <w:rsid w:val="3EB80181"/>
    <w:rsid w:val="3EE0357A"/>
    <w:rsid w:val="3F730EFE"/>
    <w:rsid w:val="41A72C8B"/>
    <w:rsid w:val="42823583"/>
    <w:rsid w:val="45664510"/>
    <w:rsid w:val="45696B62"/>
    <w:rsid w:val="47223159"/>
    <w:rsid w:val="48B8324A"/>
    <w:rsid w:val="49DF5187"/>
    <w:rsid w:val="4AAC5E91"/>
    <w:rsid w:val="4D1601D4"/>
    <w:rsid w:val="4E366112"/>
    <w:rsid w:val="50E47173"/>
    <w:rsid w:val="51B05EC4"/>
    <w:rsid w:val="53C45F6B"/>
    <w:rsid w:val="548822C0"/>
    <w:rsid w:val="5A57332E"/>
    <w:rsid w:val="5B8C1F91"/>
    <w:rsid w:val="5D075ABF"/>
    <w:rsid w:val="5DB968E0"/>
    <w:rsid w:val="5F830B2D"/>
    <w:rsid w:val="62661A2D"/>
    <w:rsid w:val="67E315E9"/>
    <w:rsid w:val="699604B7"/>
    <w:rsid w:val="6C116BEA"/>
    <w:rsid w:val="6C6258DF"/>
    <w:rsid w:val="6D77425D"/>
    <w:rsid w:val="6E163524"/>
    <w:rsid w:val="747A7A36"/>
    <w:rsid w:val="7769224E"/>
    <w:rsid w:val="78144B99"/>
    <w:rsid w:val="78E62ABF"/>
    <w:rsid w:val="797826B5"/>
    <w:rsid w:val="7AC93899"/>
    <w:rsid w:val="7BAB4EC7"/>
    <w:rsid w:val="7C010F85"/>
    <w:rsid w:val="7C1F0714"/>
    <w:rsid w:val="7CDE3DF5"/>
    <w:rsid w:val="7D1513AC"/>
    <w:rsid w:val="7E421B5E"/>
    <w:rsid w:val="7EFF0218"/>
    <w:rsid w:val="7F5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4"/>
    <w:unhideWhenUsed/>
    <w:qFormat/>
    <w:uiPriority w:val="99"/>
    <w:pPr>
      <w:jc w:val="left"/>
    </w:pPr>
  </w:style>
  <w:style w:type="paragraph" w:styleId="5">
    <w:name w:val="Body Text Indent"/>
    <w:basedOn w:val="1"/>
    <w:next w:val="1"/>
    <w:qFormat/>
    <w:uiPriority w:val="0"/>
    <w:pPr>
      <w:spacing w:line="360" w:lineRule="atLeast"/>
      <w:ind w:firstLine="480"/>
      <w:jc w:val="left"/>
    </w:pPr>
    <w:rPr>
      <w:sz w:val="24"/>
    </w:rPr>
  </w:style>
  <w:style w:type="paragraph" w:styleId="6">
    <w:name w:val="Balloon Text"/>
    <w:basedOn w:val="1"/>
    <w:link w:val="2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0"/>
    <w:pPr>
      <w:spacing w:before="240" w:after="60"/>
      <w:jc w:val="center"/>
      <w:outlineLvl w:val="0"/>
    </w:pPr>
    <w:rPr>
      <w:rFonts w:ascii="Cambria" w:hAnsi="Cambria" w:cs="Times New Roman"/>
      <w:b/>
      <w:bCs/>
      <w:sz w:val="32"/>
      <w:szCs w:val="32"/>
    </w:rPr>
  </w:style>
  <w:style w:type="paragraph" w:styleId="10">
    <w:name w:val="annotation subject"/>
    <w:basedOn w:val="4"/>
    <w:next w:val="4"/>
    <w:link w:val="25"/>
    <w:semiHidden/>
    <w:unhideWhenUsed/>
    <w:qFormat/>
    <w:uiPriority w:val="99"/>
    <w:rPr>
      <w:b/>
      <w:bCs/>
    </w:rPr>
  </w:style>
  <w:style w:type="paragraph" w:styleId="11">
    <w:name w:val="Body Text First Indent 2"/>
    <w:basedOn w:val="5"/>
    <w:next w:val="1"/>
    <w:qFormat/>
    <w:uiPriority w:val="0"/>
    <w:pPr>
      <w:widowControl/>
      <w:ind w:left="450" w:firstLine="420" w:firstLineChars="200"/>
    </w:pPr>
    <w:rPr>
      <w:rFonts w:ascii="Calibri" w:hAnsi="Calibri"/>
      <w:kern w:val="0"/>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标题 2 Char"/>
    <w:basedOn w:val="14"/>
    <w:link w:val="2"/>
    <w:qFormat/>
    <w:uiPriority w:val="0"/>
    <w:rPr>
      <w:rFonts w:ascii="Arial" w:hAnsi="Arial" w:eastAsia="黑体" w:cs="Times New Roman"/>
      <w:b/>
      <w:spacing w:val="10"/>
      <w:kern w:val="0"/>
      <w:sz w:val="32"/>
      <w:szCs w:val="20"/>
    </w:rPr>
  </w:style>
  <w:style w:type="paragraph" w:customStyle="1" w:styleId="21">
    <w:name w:val="标题 2 居中"/>
    <w:basedOn w:val="2"/>
    <w:qFormat/>
    <w:uiPriority w:val="0"/>
    <w:pPr>
      <w:jc w:val="center"/>
    </w:pPr>
    <w:rPr>
      <w:rFonts w:ascii="宋体" w:hAnsi="宋体"/>
    </w:rPr>
  </w:style>
  <w:style w:type="character" w:customStyle="1" w:styleId="22">
    <w:name w:val="标题 Char"/>
    <w:link w:val="9"/>
    <w:qFormat/>
    <w:uiPriority w:val="0"/>
    <w:rPr>
      <w:rFonts w:ascii="Cambria" w:hAnsi="Cambria" w:cs="Times New Roman"/>
      <w:b/>
      <w:bCs/>
      <w:sz w:val="32"/>
      <w:szCs w:val="32"/>
    </w:rPr>
  </w:style>
  <w:style w:type="character" w:customStyle="1" w:styleId="23">
    <w:name w:val="标题 Char1"/>
    <w:basedOn w:val="14"/>
    <w:qFormat/>
    <w:uiPriority w:val="10"/>
    <w:rPr>
      <w:rFonts w:eastAsia="宋体" w:asciiTheme="majorHAnsi" w:hAnsiTheme="majorHAnsi" w:cstheme="majorBidi"/>
      <w:b/>
      <w:bCs/>
      <w:sz w:val="32"/>
      <w:szCs w:val="32"/>
    </w:rPr>
  </w:style>
  <w:style w:type="character" w:customStyle="1" w:styleId="24">
    <w:name w:val="批注文字 Char"/>
    <w:basedOn w:val="14"/>
    <w:link w:val="4"/>
    <w:qFormat/>
    <w:uiPriority w:val="99"/>
  </w:style>
  <w:style w:type="character" w:customStyle="1" w:styleId="25">
    <w:name w:val="批注主题 Char"/>
    <w:basedOn w:val="24"/>
    <w:link w:val="10"/>
    <w:semiHidden/>
    <w:qFormat/>
    <w:uiPriority w:val="99"/>
    <w:rPr>
      <w:b/>
      <w:bCs/>
    </w:rPr>
  </w:style>
  <w:style w:type="character" w:customStyle="1" w:styleId="26">
    <w:name w:val="批注框文本 Char"/>
    <w:basedOn w:val="14"/>
    <w:link w:val="6"/>
    <w:semiHidden/>
    <w:qFormat/>
    <w:uiPriority w:val="99"/>
    <w:rPr>
      <w:sz w:val="18"/>
      <w:szCs w:val="18"/>
    </w:rPr>
  </w:style>
  <w:style w:type="paragraph" w:customStyle="1" w:styleId="27">
    <w:name w:val="Default"/>
    <w:qFormat/>
    <w:uiPriority w:val="0"/>
    <w:pPr>
      <w:widowControl w:val="0"/>
      <w:autoSpaceDE w:val="0"/>
      <w:autoSpaceDN w:val="0"/>
      <w:adjustRightInd w:val="0"/>
    </w:pPr>
    <w:rPr>
      <w:rFonts w:ascii="宋体" w:hAnsi="Calibri"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D48DB-778A-4FD0-90F3-DA8208A7D7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10078</Words>
  <Characters>10699</Characters>
  <Lines>435</Lines>
  <Paragraphs>418</Paragraphs>
  <TotalTime>4</TotalTime>
  <ScaleCrop>false</ScaleCrop>
  <LinksUpToDate>false</LinksUpToDate>
  <CharactersWithSpaces>11020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Happy</cp:lastModifiedBy>
  <cp:lastPrinted>2024-04-02T08:19:00Z</cp:lastPrinted>
  <dcterms:modified xsi:type="dcterms:W3CDTF">2025-06-24T05:40:58Z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46F6B2D7D4DC43C5B0D968078BF9FFAB_13</vt:lpwstr>
  </property>
  <property fmtid="{D5CDD505-2E9C-101B-9397-08002B2CF9AE}" pid="4" name="KSOTemplateDocerSaveRecord">
    <vt:lpwstr>eyJoZGlkIjoiN2RlODFjMTlhYzVmMGUxODY5MjJiMTk4OTJkZWQwY2EiLCJ1c2VySWQiOiIxMjcyMTUzODM4In0=</vt:lpwstr>
  </property>
</Properties>
</file>