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 xml:space="preserve"> 盐酸采购</w:t>
      </w:r>
      <w:r>
        <w:rPr>
          <w:rFonts w:hint="eastAsia"/>
          <w:sz w:val="36"/>
          <w:szCs w:val="36"/>
        </w:rPr>
        <w:t>项目</w:t>
      </w:r>
    </w:p>
    <w:p>
      <w:pPr>
        <w:jc w:val="center"/>
        <w:rPr>
          <w:rFonts w:hint="default" w:eastAsiaTheme="minorEastAsia"/>
          <w:sz w:val="52"/>
          <w:szCs w:val="52"/>
          <w:lang w:val="en-US" w:eastAsia="zh-CN"/>
        </w:rPr>
      </w:pPr>
      <w:r>
        <w:rPr>
          <w:rFonts w:hint="eastAsia"/>
          <w:sz w:val="52"/>
          <w:szCs w:val="52"/>
        </w:rPr>
        <w:t>询价通知书</w:t>
      </w:r>
      <w:r>
        <w:rPr>
          <w:rFonts w:hint="eastAsia"/>
          <w:sz w:val="52"/>
          <w:szCs w:val="52"/>
          <w:lang w:eastAsia="zh-CN"/>
        </w:rPr>
        <w:t>（</w:t>
      </w:r>
      <w:r>
        <w:rPr>
          <w:rFonts w:hint="eastAsia"/>
          <w:sz w:val="52"/>
          <w:szCs w:val="52"/>
          <w:lang w:val="en-US" w:eastAsia="zh-CN"/>
        </w:rPr>
        <w:t>二次）</w:t>
      </w:r>
    </w:p>
    <w:p>
      <w:pPr>
        <w:jc w:val="center"/>
        <w:rPr>
          <w:sz w:val="52"/>
          <w:szCs w:val="52"/>
        </w:rPr>
      </w:pPr>
    </w:p>
    <w:p>
      <w:pPr>
        <w:jc w:val="center"/>
        <w:rPr>
          <w:rFonts w:hint="eastAsia" w:eastAsiaTheme="minorEastAsia"/>
          <w:sz w:val="36"/>
          <w:szCs w:val="36"/>
          <w:lang w:eastAsia="zh-CN"/>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5-0</w:t>
      </w:r>
      <w:r>
        <w:rPr>
          <w:rFonts w:hint="eastAsia"/>
          <w:sz w:val="36"/>
          <w:szCs w:val="36"/>
          <w:lang w:val="en-US" w:eastAsia="zh-CN"/>
        </w:rPr>
        <w:t>9</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rPr>
        <w:t>5年</w:t>
      </w:r>
      <w:r>
        <w:rPr>
          <w:rFonts w:hint="eastAsia"/>
          <w:sz w:val="36"/>
          <w:szCs w:val="36"/>
          <w:lang w:val="en-US" w:eastAsia="zh-CN"/>
        </w:rPr>
        <w:t>11</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询价</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w:t>
      </w:r>
      <w:r>
        <w:rPr>
          <w:rFonts w:ascii="宋体" w:hAnsi="宋体" w:eastAsia="宋体" w:cs="宋体"/>
          <w:b/>
          <w:color w:val="3A3A3A"/>
          <w:kern w:val="0"/>
          <w:sz w:val="24"/>
          <w:szCs w:val="24"/>
          <w:u w:val="single"/>
        </w:rPr>
        <w:t>202</w:t>
      </w:r>
      <w:r>
        <w:rPr>
          <w:rFonts w:hint="eastAsia" w:ascii="宋体" w:hAnsi="宋体" w:eastAsia="宋体" w:cs="宋体"/>
          <w:b/>
          <w:color w:val="3A3A3A"/>
          <w:kern w:val="0"/>
          <w:sz w:val="24"/>
          <w:szCs w:val="24"/>
          <w:u w:val="single"/>
          <w:lang w:val="en-US" w:eastAsia="zh-CN"/>
        </w:rPr>
        <w:t>6</w:t>
      </w:r>
      <w:r>
        <w:rPr>
          <w:rFonts w:hint="eastAsia" w:ascii="宋体" w:hAnsi="宋体" w:eastAsia="宋体" w:cs="宋体"/>
          <w:b/>
          <w:color w:val="3A3A3A"/>
          <w:kern w:val="0"/>
          <w:sz w:val="24"/>
          <w:szCs w:val="24"/>
          <w:u w:val="single"/>
        </w:rPr>
        <w:t>年</w:t>
      </w:r>
      <w:r>
        <w:rPr>
          <w:rFonts w:hint="eastAsia" w:ascii="宋体" w:hAnsi="宋体" w:eastAsia="宋体" w:cs="宋体"/>
          <w:b/>
          <w:color w:val="3A3A3A"/>
          <w:kern w:val="0"/>
          <w:sz w:val="24"/>
          <w:szCs w:val="24"/>
          <w:u w:val="single"/>
          <w:lang w:val="en-US" w:eastAsia="zh-CN"/>
        </w:rPr>
        <w:t>1</w:t>
      </w:r>
      <w:r>
        <w:rPr>
          <w:rFonts w:hint="eastAsia" w:ascii="宋体" w:hAnsi="宋体" w:eastAsia="宋体" w:cs="宋体"/>
          <w:b/>
          <w:color w:val="3A3A3A"/>
          <w:kern w:val="0"/>
          <w:sz w:val="24"/>
          <w:szCs w:val="24"/>
          <w:u w:val="single"/>
        </w:rPr>
        <w:t>月-202</w:t>
      </w:r>
      <w:r>
        <w:rPr>
          <w:rFonts w:hint="eastAsia" w:ascii="宋体" w:hAnsi="宋体" w:eastAsia="宋体" w:cs="宋体"/>
          <w:b/>
          <w:color w:val="3A3A3A"/>
          <w:kern w:val="0"/>
          <w:sz w:val="24"/>
          <w:szCs w:val="24"/>
          <w:u w:val="single"/>
          <w:lang w:val="en-US" w:eastAsia="zh-CN"/>
        </w:rPr>
        <w:t>6</w:t>
      </w:r>
      <w:r>
        <w:rPr>
          <w:rFonts w:hint="eastAsia" w:ascii="宋体" w:hAnsi="宋体" w:eastAsia="宋体" w:cs="宋体"/>
          <w:b/>
          <w:color w:val="3A3A3A"/>
          <w:kern w:val="0"/>
          <w:sz w:val="24"/>
          <w:szCs w:val="24"/>
          <w:u w:val="single"/>
        </w:rPr>
        <w:t>年</w:t>
      </w:r>
      <w:r>
        <w:rPr>
          <w:rFonts w:hint="eastAsia" w:ascii="宋体" w:hAnsi="宋体" w:eastAsia="宋体" w:cs="宋体"/>
          <w:b/>
          <w:color w:val="3A3A3A"/>
          <w:kern w:val="0"/>
          <w:sz w:val="24"/>
          <w:szCs w:val="24"/>
          <w:u w:val="single"/>
          <w:lang w:val="en-US" w:eastAsia="zh-CN"/>
        </w:rPr>
        <w:t>6</w:t>
      </w:r>
      <w:r>
        <w:rPr>
          <w:rFonts w:hint="eastAsia" w:ascii="宋体" w:hAnsi="宋体" w:eastAsia="宋体" w:cs="宋体"/>
          <w:b/>
          <w:color w:val="3A3A3A"/>
          <w:kern w:val="0"/>
          <w:sz w:val="24"/>
          <w:szCs w:val="24"/>
          <w:u w:val="single"/>
        </w:rPr>
        <w:t>月</w:t>
      </w:r>
      <w:r>
        <w:rPr>
          <w:rFonts w:hint="eastAsia" w:ascii="宋体" w:hAnsi="宋体" w:eastAsia="宋体" w:cs="宋体"/>
          <w:color w:val="3A3A3A"/>
          <w:kern w:val="0"/>
          <w:sz w:val="24"/>
          <w:szCs w:val="24"/>
        </w:rPr>
        <w:t>盐酸询价采购，希望具备长期供应能力的供应商，按照有关采购规定和我司的要求，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 xml:space="preserve"> 盐酸</w:t>
      </w:r>
      <w:r>
        <w:rPr>
          <w:rFonts w:ascii="宋体" w:hAnsi="宋体" w:eastAsia="宋体" w:cs="宋体"/>
          <w:color w:val="3A3A3A"/>
          <w:kern w:val="0"/>
          <w:sz w:val="24"/>
          <w:szCs w:val="24"/>
        </w:rPr>
        <w:t>采购</w:t>
      </w:r>
    </w:p>
    <w:p>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海沧区阳光西路288号 （</w:t>
      </w:r>
      <w:r>
        <w:rPr>
          <w:rFonts w:hint="eastAsia" w:ascii="宋体" w:hAnsi="宋体"/>
          <w:bCs/>
          <w:kern w:val="0"/>
          <w:sz w:val="24"/>
          <w:szCs w:val="24"/>
        </w:rPr>
        <w:t>厦门海发环保能源股份有限公司）、厦门市同安区美禾三路399号（厦门同集热电有限公司）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w:t>
      </w:r>
      <w:r>
        <w:rPr>
          <w:rFonts w:hint="eastAsia" w:ascii="宋体" w:hAnsi="宋体" w:eastAsia="宋体"/>
          <w:bCs/>
          <w:sz w:val="24"/>
          <w:szCs w:val="24"/>
        </w:rPr>
        <w:t>2.3</w:t>
      </w:r>
      <w:r>
        <w:rPr>
          <w:rFonts w:hint="eastAsia" w:ascii="宋体" w:hAnsi="宋体" w:eastAsia="宋体"/>
          <w:bCs/>
          <w:kern w:val="0"/>
          <w:sz w:val="24"/>
          <w:szCs w:val="24"/>
        </w:rPr>
        <w:t>报价方须提供</w:t>
      </w:r>
      <w:r>
        <w:rPr>
          <w:rFonts w:hint="eastAsia" w:ascii="宋体" w:hAnsi="宋体" w:cs="宋体"/>
          <w:kern w:val="0"/>
          <w:sz w:val="24"/>
          <w:szCs w:val="24"/>
        </w:rPr>
        <w:t>危险化学品经营许可证</w:t>
      </w:r>
      <w:r>
        <w:rPr>
          <w:rFonts w:hint="eastAsia" w:ascii="宋体" w:hAnsi="宋体" w:eastAsia="宋体"/>
          <w:bCs/>
          <w:sz w:val="24"/>
          <w:szCs w:val="24"/>
        </w:rPr>
        <w:t>复印件并加盖公章</w:t>
      </w:r>
      <w:r>
        <w:rPr>
          <w:rFonts w:hint="eastAsia" w:ascii="宋体" w:hAnsi="宋体"/>
          <w:kern w:val="0"/>
          <w:sz w:val="24"/>
          <w:szCs w:val="24"/>
        </w:rPr>
        <w:t>。</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询价保证金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报价方在投标截止时间前须缴足询价保证金人民币</w:t>
      </w:r>
      <w:r>
        <w:rPr>
          <w:rFonts w:hint="eastAsia" w:ascii="宋体" w:hAnsi="宋体" w:eastAsia="宋体" w:cs="宋体"/>
          <w:b/>
          <w:kern w:val="0"/>
          <w:sz w:val="24"/>
          <w:szCs w:val="24"/>
          <w:lang w:val="en-US" w:eastAsia="zh-CN"/>
        </w:rPr>
        <w:t>贰仟</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20</w:t>
      </w:r>
      <w:r>
        <w:rPr>
          <w:rFonts w:ascii="宋体" w:hAnsi="宋体" w:eastAsia="宋体" w:cs="宋体"/>
          <w:b/>
          <w:kern w:val="0"/>
          <w:sz w:val="24"/>
          <w:szCs w:val="24"/>
        </w:rPr>
        <w:t>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未按规定提交询价保证金的报价文件，属无效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 xml:space="preserve"> </w:t>
      </w:r>
      <w:r>
        <w:rPr>
          <w:rFonts w:hint="eastAsia" w:ascii="宋体" w:hAnsi="宋体" w:eastAsia="宋体" w:cs="宋体"/>
          <w:color w:val="3A3A3A"/>
          <w:kern w:val="0"/>
          <w:sz w:val="24"/>
          <w:szCs w:val="24"/>
        </w:rPr>
        <w:t>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除出现不予退还询价保证金情形</w:t>
      </w: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3A3A3A"/>
          <w:kern w:val="0"/>
          <w:sz w:val="24"/>
          <w:szCs w:val="24"/>
        </w:rPr>
        <w:t>，我司将在成交</w:t>
      </w:r>
      <w:r>
        <w:rPr>
          <w:rFonts w:hint="eastAsia" w:ascii="宋体" w:hAnsi="宋体" w:eastAsia="宋体" w:cs="宋体"/>
          <w:color w:val="3A3A3A"/>
          <w:kern w:val="0"/>
          <w:sz w:val="24"/>
          <w:szCs w:val="24"/>
          <w:lang w:val="en-US" w:eastAsia="zh-CN"/>
        </w:rPr>
        <w:t>通知书发出</w:t>
      </w:r>
      <w:r>
        <w:rPr>
          <w:rFonts w:hint="eastAsia" w:ascii="宋体" w:hAnsi="宋体" w:eastAsia="宋体" w:cs="宋体"/>
          <w:color w:val="3A3A3A"/>
          <w:kern w:val="0"/>
          <w:sz w:val="24"/>
          <w:szCs w:val="24"/>
        </w:rPr>
        <w:t>后</w:t>
      </w:r>
      <w:r>
        <w:rPr>
          <w:rFonts w:hint="eastAsia" w:ascii="宋体" w:hAnsi="宋体" w:eastAsia="宋体" w:cs="宋体"/>
          <w:color w:val="3A3A3A"/>
          <w:kern w:val="0"/>
          <w:sz w:val="24"/>
          <w:szCs w:val="24"/>
          <w:lang w:val="en-US" w:eastAsia="zh-CN"/>
        </w:rPr>
        <w:t>5</w:t>
      </w:r>
      <w:r>
        <w:rPr>
          <w:rFonts w:hint="eastAsia" w:ascii="宋体" w:hAnsi="宋体" w:eastAsia="宋体" w:cs="宋体"/>
          <w:color w:val="3A3A3A"/>
          <w:kern w:val="0"/>
          <w:sz w:val="24"/>
          <w:szCs w:val="24"/>
        </w:rPr>
        <w:t>个工作日内无息退还</w:t>
      </w:r>
      <w:r>
        <w:rPr>
          <w:rFonts w:hint="eastAsia" w:ascii="宋体" w:hAnsi="宋体" w:eastAsia="宋体" w:cs="宋体"/>
          <w:color w:val="3A3A3A"/>
          <w:kern w:val="0"/>
          <w:sz w:val="24"/>
          <w:szCs w:val="24"/>
          <w:lang w:val="en-US" w:eastAsia="zh-CN"/>
        </w:rPr>
        <w:t>未成交供应商询价</w:t>
      </w:r>
      <w:r>
        <w:rPr>
          <w:rFonts w:hint="eastAsia" w:ascii="宋体" w:hAnsi="宋体" w:eastAsia="宋体" w:cs="宋体"/>
          <w:color w:val="3A3A3A"/>
          <w:kern w:val="0"/>
          <w:sz w:val="24"/>
          <w:szCs w:val="24"/>
        </w:rPr>
        <w:t>保证金</w:t>
      </w:r>
      <w:r>
        <w:rPr>
          <w:rFonts w:hint="eastAsia" w:ascii="宋体" w:hAnsi="宋体" w:eastAsia="宋体" w:cs="宋体"/>
          <w:color w:val="3A3A3A"/>
          <w:kern w:val="0"/>
          <w:sz w:val="24"/>
          <w:szCs w:val="24"/>
          <w:lang w:eastAsia="zh-CN"/>
        </w:rPr>
        <w:t>；</w:t>
      </w:r>
      <w:r>
        <w:rPr>
          <w:rFonts w:hint="eastAsia" w:ascii="宋体" w:hAnsi="宋体" w:eastAsia="宋体" w:cs="宋体"/>
          <w:color w:val="3A3A3A"/>
          <w:kern w:val="0"/>
          <w:sz w:val="24"/>
          <w:szCs w:val="24"/>
          <w:lang w:val="en-US" w:eastAsia="zh-CN"/>
        </w:rPr>
        <w:t>自</w:t>
      </w:r>
      <w:r>
        <w:rPr>
          <w:rFonts w:hint="eastAsia" w:ascii="宋体" w:hAnsi="宋体" w:eastAsia="宋体" w:cs="宋体"/>
          <w:i w:val="0"/>
          <w:iCs w:val="0"/>
          <w:caps w:val="0"/>
          <w:color w:val="3A3A3A"/>
          <w:spacing w:val="0"/>
          <w:kern w:val="0"/>
          <w:sz w:val="24"/>
          <w:szCs w:val="24"/>
        </w:rPr>
        <w:t>合同签订之日起5个工作日内退还中标供应商的投标保证金</w:t>
      </w:r>
      <w:r>
        <w:rPr>
          <w:rFonts w:hint="eastAsia" w:ascii="宋体" w:hAnsi="宋体" w:eastAsia="宋体" w:cs="宋体"/>
          <w:color w:val="3A3A3A"/>
          <w:kern w:val="0"/>
          <w:sz w:val="24"/>
          <w:szCs w:val="24"/>
        </w:rPr>
        <w:t>。</w:t>
      </w:r>
    </w:p>
    <w:p>
      <w:pPr>
        <w:widowControl/>
        <w:shd w:val="clear" w:color="auto" w:fill="FFFFFF"/>
        <w:spacing w:line="360" w:lineRule="auto"/>
        <w:jc w:val="left"/>
        <w:rPr>
          <w:rFonts w:ascii="宋体" w:hAnsi="宋体" w:eastAsia="宋体" w:cs="宋体"/>
          <w:color w:val="3A3A3A"/>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2</w:t>
      </w:r>
      <w:r>
        <w:rPr>
          <w:rFonts w:hint="eastAsia" w:ascii="宋体" w:hAnsi="宋体" w:cs="宋体"/>
          <w:b/>
          <w:sz w:val="24"/>
          <w:szCs w:val="24"/>
        </w:rPr>
        <w:t>特别说明：</w:t>
      </w:r>
      <w:r>
        <w:rPr>
          <w:rFonts w:hint="eastAsia" w:ascii="宋体" w:hAnsi="宋体"/>
          <w:sz w:val="24"/>
        </w:rPr>
        <w:t>不能在报价现场缴交现金或以个人名义交纳保证金。报价方应从其银行账户以公对公转账方式向询价保证金账户提交保证金，以报价截止时间前我司查询实际到账为准。</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3.3请在银行</w:t>
      </w:r>
      <w:r>
        <w:rPr>
          <w:rFonts w:ascii="宋体" w:hAnsi="宋体" w:eastAsia="宋体" w:cs="宋体"/>
          <w:color w:val="3A3A3A"/>
          <w:kern w:val="0"/>
          <w:sz w:val="24"/>
          <w:szCs w:val="24"/>
        </w:rPr>
        <w:t>转账</w:t>
      </w:r>
      <w:r>
        <w:rPr>
          <w:rFonts w:hint="eastAsia" w:ascii="宋体" w:hAnsi="宋体" w:eastAsia="宋体" w:cs="宋体"/>
          <w:color w:val="3A3A3A"/>
          <w:kern w:val="0"/>
          <w:sz w:val="24"/>
          <w:szCs w:val="24"/>
        </w:rPr>
        <w:t>“用途”一栏中写明“ 盐酸询价保证金”字样。</w:t>
      </w:r>
    </w:p>
    <w:p>
      <w:pPr>
        <w:widowControl/>
        <w:spacing w:line="276" w:lineRule="auto"/>
        <w:rPr>
          <w:rFonts w:ascii="宋体" w:hAnsi="宋体" w:eastAsia="宋体" w:cs="宋体"/>
          <w:kern w:val="0"/>
          <w:sz w:val="24"/>
          <w:szCs w:val="24"/>
        </w:rPr>
      </w:pP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4</w:t>
      </w:r>
      <w:r>
        <w:rPr>
          <w:rFonts w:hint="eastAsia" w:ascii="宋体" w:hAnsi="宋体" w:eastAsia="宋体" w:cs="宋体"/>
          <w:kern w:val="0"/>
          <w:sz w:val="24"/>
          <w:szCs w:val="24"/>
        </w:rPr>
        <w:t>询价保证金收款单位：厦门海发环保能源股份有限公司</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账号：40373001040009422   开户行：</w:t>
      </w:r>
      <w:r>
        <w:rPr>
          <w:rFonts w:hint="eastAsia" w:ascii="宋体" w:hAnsi="宋体" w:eastAsia="宋体" w:cs="宋体"/>
          <w:b/>
          <w:kern w:val="0"/>
          <w:sz w:val="24"/>
          <w:szCs w:val="24"/>
        </w:rPr>
        <w:t>农业银行新阳支行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注意：询价保证金均须存入或转入以上账号，其它收款单位均视为无效。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w:t>
      </w:r>
      <w:r>
        <w:rPr>
          <w:rFonts w:hint="eastAsia" w:ascii="宋体" w:hAnsi="宋体" w:eastAsia="宋体" w:cs="Times New Roman"/>
          <w:sz w:val="24"/>
          <w:szCs w:val="24"/>
        </w:rPr>
        <w:t>5询价保证金缴交截止时间：2</w:t>
      </w:r>
      <w:r>
        <w:rPr>
          <w:rFonts w:ascii="宋体" w:hAnsi="宋体" w:eastAsia="宋体" w:cs="Times New Roman"/>
          <w:sz w:val="24"/>
          <w:szCs w:val="24"/>
        </w:rPr>
        <w:t>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 xml:space="preserve">12 </w:t>
      </w:r>
      <w:r>
        <w:rPr>
          <w:rFonts w:ascii="宋体" w:hAnsi="宋体" w:eastAsia="宋体" w:cs="Times New Roman"/>
          <w:sz w:val="24"/>
          <w:szCs w:val="24"/>
        </w:rPr>
        <w:t>月</w:t>
      </w:r>
      <w:r>
        <w:rPr>
          <w:rFonts w:hint="eastAsia" w:ascii="宋体" w:hAnsi="宋体" w:eastAsia="宋体" w:cs="Times New Roman"/>
          <w:sz w:val="24"/>
          <w:szCs w:val="24"/>
          <w:lang w:val="en-US" w:eastAsia="zh-CN"/>
        </w:rPr>
        <w:t>1</w:t>
      </w:r>
      <w:r>
        <w:rPr>
          <w:rFonts w:ascii="宋体" w:hAnsi="宋体" w:eastAsia="宋体" w:cs="Times New Roman"/>
          <w:sz w:val="24"/>
          <w:szCs w:val="24"/>
        </w:rPr>
        <w:t xml:space="preserve">日 </w:t>
      </w:r>
      <w:r>
        <w:rPr>
          <w:rFonts w:hint="eastAsia" w:ascii="宋体" w:hAnsi="宋体" w:eastAsia="宋体" w:cs="Times New Roman"/>
          <w:sz w:val="24"/>
          <w:szCs w:val="24"/>
          <w:lang w:val="en-US" w:eastAsia="zh-CN"/>
        </w:rPr>
        <w:t>16</w:t>
      </w:r>
      <w:r>
        <w:rPr>
          <w:rFonts w:hint="eastAsia" w:ascii="宋体" w:hAnsi="宋体" w:eastAsia="宋体" w:cs="Times New Roman"/>
          <w:sz w:val="24"/>
          <w:szCs w:val="24"/>
        </w:rPr>
        <w:t>:00</w:t>
      </w:r>
      <w:r>
        <w:rPr>
          <w:rFonts w:ascii="宋体" w:hAnsi="宋体" w:eastAsia="宋体" w:cs="Times New Roman"/>
          <w:sz w:val="24"/>
          <w:szCs w:val="24"/>
        </w:rPr>
        <w:t xml:space="preserve"> </w:t>
      </w:r>
      <w:r>
        <w:rPr>
          <w:rFonts w:hint="eastAsia" w:ascii="宋体" w:hAnsi="宋体" w:eastAsia="宋体"/>
          <w:b/>
          <w:bCs/>
          <w:sz w:val="24"/>
          <w:szCs w:val="24"/>
        </w:rPr>
        <w:t>。</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hd w:val="clear" w:color="auto" w:fill="FFFFFF"/>
        <w:spacing w:line="360" w:lineRule="auto"/>
        <w:jc w:val="left"/>
        <w:rPr>
          <w:rFonts w:ascii="宋体" w:hAnsi="宋体" w:eastAsia="宋体" w:cs="宋体"/>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cs="宋体"/>
          <w:b/>
          <w:bCs/>
          <w:sz w:val="24"/>
          <w:szCs w:val="24"/>
        </w:rPr>
        <w:t>报</w:t>
      </w:r>
      <w:r>
        <w:rPr>
          <w:rFonts w:hint="eastAsia" w:ascii="宋体" w:hAnsi="宋体" w:cs="宋体"/>
          <w:b/>
          <w:sz w:val="24"/>
          <w:szCs w:val="24"/>
        </w:rPr>
        <w:t>价文件需逐页加盖单位公章，所有报价文件装入密封袋，</w:t>
      </w:r>
      <w:r>
        <w:rPr>
          <w:rFonts w:hint="eastAsia" w:ascii="宋体" w:hAnsi="宋体" w:eastAsia="宋体" w:cs="宋体"/>
          <w:b/>
          <w:sz w:val="24"/>
          <w:szCs w:val="24"/>
        </w:rPr>
        <w:t>在</w:t>
      </w:r>
      <w:r>
        <w:rPr>
          <w:rFonts w:hint="eastAsia" w:ascii="宋体" w:hAnsi="宋体"/>
          <w:b/>
          <w:sz w:val="24"/>
        </w:rPr>
        <w:t xml:space="preserve">每一密封处注明“于  </w:t>
      </w:r>
      <w:r>
        <w:rPr>
          <w:rFonts w:hint="eastAsia" w:ascii="宋体" w:hAnsi="宋体"/>
          <w:b/>
          <w:sz w:val="24"/>
          <w:u w:val="single"/>
        </w:rPr>
        <w:t xml:space="preserve">     </w:t>
      </w:r>
      <w:r>
        <w:rPr>
          <w:rFonts w:hint="eastAsia" w:ascii="宋体" w:hAnsi="宋体"/>
          <w:b/>
          <w:sz w:val="24"/>
        </w:rPr>
        <w:t>之前（指询价邀请中规定的询价截止日期及时间）不准启封”的字样，并加盖报价单位公章；</w:t>
      </w:r>
      <w:r>
        <w:rPr>
          <w:rFonts w:hint="eastAsia" w:ascii="宋体" w:hAnsi="宋体" w:cs="宋体"/>
          <w:b/>
          <w:sz w:val="24"/>
          <w:szCs w:val="24"/>
        </w:rPr>
        <w:t>并在密封袋封面上正确标明报价项目名称、单位名称、联系人及联系电话，同时加盖公章，否则视为无效标。</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lang w:val="en-US" w:eastAsia="zh-CN"/>
        </w:rPr>
        <w:t>305</w:t>
      </w:r>
      <w:r>
        <w:rPr>
          <w:rFonts w:hint="eastAsia" w:ascii="宋体" w:hAnsi="宋体" w:eastAsia="宋体" w:cs="宋体"/>
          <w:kern w:val="0"/>
          <w:sz w:val="24"/>
          <w:szCs w:val="24"/>
        </w:rPr>
        <w:t>室。</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邀请报价方现场参与询价。</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b/>
          <w:bCs/>
          <w:kern w:val="0"/>
          <w:sz w:val="24"/>
          <w:szCs w:val="24"/>
        </w:rPr>
        <w:t>报价文件以左侧装订成册，同时密封提供报价文件（有加盖公章的）扫描件，可以光盘或U盘提供。</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cs="Times New Roman"/>
          <w:sz w:val="24"/>
          <w:szCs w:val="24"/>
        </w:rPr>
        <w:t>2</w:t>
      </w:r>
      <w:r>
        <w:rPr>
          <w:rFonts w:ascii="宋体" w:hAnsi="宋体" w:eastAsia="宋体" w:cs="Times New Roman"/>
          <w:sz w:val="24"/>
          <w:szCs w:val="24"/>
        </w:rPr>
        <w:t>02</w:t>
      </w:r>
      <w:r>
        <w:rPr>
          <w:rFonts w:hint="eastAsia" w:ascii="宋体" w:hAnsi="宋体" w:eastAsia="宋体" w:cs="Times New Roman"/>
          <w:sz w:val="24"/>
          <w:szCs w:val="24"/>
        </w:rPr>
        <w:t>5年</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rPr>
        <w:t xml:space="preserve"> </w:t>
      </w:r>
      <w:r>
        <w:rPr>
          <w:rFonts w:ascii="宋体" w:hAnsi="宋体" w:eastAsia="宋体" w:cs="Times New Roman"/>
          <w:sz w:val="24"/>
          <w:szCs w:val="24"/>
        </w:rPr>
        <w:t>月</w:t>
      </w:r>
      <w:r>
        <w:rPr>
          <w:rFonts w:hint="eastAsia" w:ascii="宋体" w:hAnsi="宋体" w:eastAsia="宋体" w:cs="Times New Roman"/>
          <w:sz w:val="24"/>
          <w:szCs w:val="24"/>
          <w:lang w:val="en-US" w:eastAsia="zh-CN"/>
        </w:rPr>
        <w:t>2</w:t>
      </w:r>
      <w:r>
        <w:rPr>
          <w:rFonts w:ascii="宋体" w:hAnsi="宋体" w:eastAsia="宋体" w:cs="Times New Roman"/>
          <w:sz w:val="24"/>
          <w:szCs w:val="24"/>
        </w:rPr>
        <w:t>日</w:t>
      </w:r>
      <w:r>
        <w:rPr>
          <w:rFonts w:hint="eastAsia" w:ascii="宋体" w:hAnsi="宋体" w:eastAsia="宋体" w:cs="Times New Roman"/>
          <w:sz w:val="24"/>
          <w:szCs w:val="24"/>
        </w:rPr>
        <w:t>10:00</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pPr>
        <w:widowControl/>
        <w:spacing w:line="480" w:lineRule="auto"/>
        <w:jc w:val="left"/>
        <w:rPr>
          <w:rFonts w:ascii="宋体" w:hAnsi="宋体"/>
          <w:kern w:val="0"/>
          <w:sz w:val="24"/>
          <w:szCs w:val="24"/>
        </w:rPr>
      </w:pPr>
      <w:r>
        <w:rPr>
          <w:rFonts w:hint="eastAsia" w:ascii="宋体" w:hAnsi="宋体"/>
          <w:color w:val="000000"/>
          <w:kern w:val="0"/>
          <w:sz w:val="24"/>
          <w:szCs w:val="24"/>
        </w:rPr>
        <w:t>采购方于</w:t>
      </w:r>
      <w:r>
        <w:rPr>
          <w:rFonts w:hint="eastAsia" w:ascii="宋体" w:hAnsi="宋体"/>
          <w:b/>
          <w:bCs/>
          <w:sz w:val="24"/>
          <w:szCs w:val="24"/>
        </w:rPr>
        <w:t>2025年</w:t>
      </w:r>
      <w:r>
        <w:rPr>
          <w:rFonts w:hint="eastAsia" w:ascii="宋体" w:hAnsi="宋体"/>
          <w:b/>
          <w:bCs/>
          <w:sz w:val="24"/>
          <w:szCs w:val="24"/>
          <w:lang w:val="en-US" w:eastAsia="zh-CN"/>
        </w:rPr>
        <w:t>12</w:t>
      </w:r>
      <w:r>
        <w:rPr>
          <w:rFonts w:hint="eastAsia" w:ascii="宋体" w:hAnsi="宋体"/>
          <w:b/>
          <w:bCs/>
          <w:sz w:val="24"/>
          <w:szCs w:val="24"/>
        </w:rPr>
        <w:t>月</w:t>
      </w:r>
      <w:r>
        <w:rPr>
          <w:rFonts w:hint="eastAsia" w:ascii="宋体" w:hAnsi="宋体"/>
          <w:b/>
          <w:bCs/>
          <w:sz w:val="24"/>
          <w:szCs w:val="24"/>
          <w:lang w:val="en-US" w:eastAsia="zh-CN"/>
        </w:rPr>
        <w:t xml:space="preserve"> 2</w:t>
      </w:r>
      <w:r>
        <w:rPr>
          <w:rFonts w:hint="eastAsia" w:ascii="宋体" w:hAnsi="宋体"/>
          <w:b/>
          <w:bCs/>
          <w:sz w:val="24"/>
          <w:szCs w:val="24"/>
        </w:rPr>
        <w:t>日10:</w:t>
      </w:r>
      <w:r>
        <w:rPr>
          <w:rFonts w:ascii="宋体" w:hAnsi="宋体"/>
          <w:b/>
          <w:bCs/>
          <w:sz w:val="24"/>
          <w:szCs w:val="24"/>
        </w:rPr>
        <w:t>00</w:t>
      </w:r>
      <w:r>
        <w:rPr>
          <w:rFonts w:hint="eastAsia" w:ascii="宋体" w:hAnsi="宋体"/>
          <w:kern w:val="0"/>
          <w:sz w:val="24"/>
          <w:szCs w:val="24"/>
        </w:rPr>
        <w:t>，</w:t>
      </w:r>
      <w:r>
        <w:rPr>
          <w:rFonts w:hint="eastAsia" w:ascii="宋体" w:hAnsi="宋体"/>
          <w:bCs/>
          <w:kern w:val="0"/>
          <w:sz w:val="24"/>
          <w:szCs w:val="24"/>
        </w:rPr>
        <w:t>厦门海发环保能源股份有限公司2楼开标室</w:t>
      </w:r>
      <w:r>
        <w:rPr>
          <w:rFonts w:hint="eastAsia" w:ascii="宋体" w:hAnsi="宋体"/>
          <w:kern w:val="0"/>
          <w:sz w:val="24"/>
          <w:szCs w:val="24"/>
        </w:rPr>
        <w:t>（</w:t>
      </w:r>
      <w:r>
        <w:rPr>
          <w:rFonts w:hint="eastAsia" w:ascii="宋体" w:hAnsi="宋体" w:cs="Times New Roman"/>
          <w:sz w:val="24"/>
          <w:szCs w:val="24"/>
        </w:rPr>
        <w:t>海沧区阳光西路288号</w:t>
      </w:r>
      <w:r>
        <w:rPr>
          <w:rFonts w:hint="eastAsia" w:ascii="宋体" w:hAnsi="宋体"/>
          <w:kern w:val="0"/>
          <w:sz w:val="24"/>
          <w:szCs w:val="24"/>
        </w:rPr>
        <w:t>）开标询价。</w:t>
      </w:r>
    </w:p>
    <w:p>
      <w:pPr>
        <w:tabs>
          <w:tab w:val="left" w:pos="0"/>
        </w:tabs>
        <w:snapToGrid w:val="0"/>
        <w:spacing w:line="360" w:lineRule="auto"/>
        <w:ind w:right="105" w:rightChars="50"/>
        <w:jc w:val="left"/>
        <w:rPr>
          <w:rFonts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b/>
          <w:bCs/>
          <w:kern w:val="0"/>
          <w:sz w:val="24"/>
          <w:szCs w:val="24"/>
        </w:rPr>
        <w:t xml:space="preserve"> 项目限价：本次采购设定限高价为</w:t>
      </w:r>
      <w:r>
        <w:rPr>
          <w:rFonts w:hint="eastAsia" w:ascii="宋体" w:hAnsi="宋体" w:eastAsia="宋体" w:cs="宋体"/>
          <w:b/>
          <w:bCs/>
          <w:kern w:val="0"/>
          <w:sz w:val="24"/>
          <w:szCs w:val="24"/>
          <w:lang w:val="en-US" w:eastAsia="zh-CN"/>
        </w:rPr>
        <w:t>406.8</w:t>
      </w:r>
      <w:r>
        <w:rPr>
          <w:rFonts w:hint="eastAsia" w:ascii="宋体" w:hAnsi="宋体" w:eastAsia="宋体" w:cs="宋体"/>
          <w:b/>
          <w:bCs/>
          <w:kern w:val="0"/>
          <w:sz w:val="24"/>
          <w:szCs w:val="24"/>
        </w:rPr>
        <w:t>元/吨（含税），报价高于此价格则视为无效报价</w:t>
      </w:r>
      <w:r>
        <w:rPr>
          <w:rFonts w:hint="eastAsia" w:ascii="宋体" w:hAnsi="宋体" w:eastAsia="宋体" w:cs="宋体"/>
          <w:kern w:val="0"/>
          <w:sz w:val="24"/>
          <w:szCs w:val="24"/>
        </w:rPr>
        <w:t>。</w:t>
      </w:r>
    </w:p>
    <w:p>
      <w:pPr>
        <w:snapToGrid w:val="0"/>
        <w:spacing w:line="360" w:lineRule="auto"/>
        <w:ind w:right="105" w:rightChars="50"/>
        <w:jc w:val="left"/>
        <w:rPr>
          <w:rFonts w:ascii="宋体" w:hAnsi="宋体" w:eastAsia="宋体" w:cs="宋体"/>
          <w:kern w:val="0"/>
          <w:sz w:val="24"/>
          <w:szCs w:val="24"/>
        </w:rPr>
      </w:pPr>
      <w:r>
        <w:rPr>
          <w:rFonts w:hint="eastAsia" w:ascii="宋体" w:hAnsi="宋体" w:eastAsia="宋体" w:cs="宋体"/>
          <w:kern w:val="0"/>
          <w:sz w:val="24"/>
          <w:szCs w:val="24"/>
        </w:rPr>
        <w:t>8成交</w:t>
      </w:r>
      <w:r>
        <w:rPr>
          <w:rFonts w:ascii="宋体" w:hAnsi="宋体" w:eastAsia="宋体" w:cs="宋体"/>
          <w:kern w:val="0"/>
          <w:sz w:val="24"/>
          <w:szCs w:val="24"/>
        </w:rPr>
        <w:t>原则</w:t>
      </w:r>
      <w:r>
        <w:rPr>
          <w:rFonts w:hint="eastAsia" w:ascii="宋体" w:hAnsi="宋体" w:eastAsia="宋体" w:cs="宋体"/>
          <w:kern w:val="0"/>
          <w:sz w:val="24"/>
          <w:szCs w:val="24"/>
        </w:rPr>
        <w:t>：</w:t>
      </w:r>
    </w:p>
    <w:p>
      <w:pPr>
        <w:widowControl/>
        <w:spacing w:line="480" w:lineRule="auto"/>
        <w:jc w:val="left"/>
        <w:rPr>
          <w:rFonts w:ascii="宋体" w:hAnsi="宋体" w:cs="宋体"/>
          <w:sz w:val="24"/>
        </w:rPr>
      </w:pPr>
      <w:r>
        <w:rPr>
          <w:rFonts w:hint="eastAsia" w:ascii="宋体" w:hAnsi="宋体" w:cs="宋体"/>
          <w:sz w:val="24"/>
        </w:rPr>
        <w:t>本次询价采用经综合评审合格且最低价成交法。询价小组从质量和服务均能满足采购文件实质性响应要求的供应商中，根据有效报价总价由低到高推荐成交候选供应商；有效报价总价相同的，</w:t>
      </w:r>
      <w:r>
        <w:rPr>
          <w:rFonts w:hint="eastAsia" w:ascii="宋体" w:hAnsi="宋体"/>
          <w:sz w:val="24"/>
        </w:rPr>
        <w:t>询价小组根据随机原则确定排名</w:t>
      </w:r>
      <w:r>
        <w:rPr>
          <w:rFonts w:hint="eastAsia" w:ascii="宋体" w:hAnsi="宋体" w:cs="宋体"/>
          <w:sz w:val="24"/>
        </w:rPr>
        <w:t>。询价小组根据以上排列顺序推荐成交候选供应商的成交候选顺序 。</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11"/>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联系人：王芸芸（联系电话：</w:t>
      </w:r>
      <w:r>
        <w:rPr>
          <w:rFonts w:hint="eastAsia" w:ascii="宋体" w:hAnsi="宋体"/>
          <w:kern w:val="0"/>
          <w:sz w:val="24"/>
          <w:szCs w:val="24"/>
        </w:rPr>
        <w:t>13860158176</w:t>
      </w:r>
      <w:r>
        <w:rPr>
          <w:rFonts w:hint="eastAsia" w:ascii="宋体" w:hAnsi="宋体" w:eastAsia="宋体" w:cs="宋体"/>
          <w:kern w:val="0"/>
          <w:sz w:val="24"/>
          <w:szCs w:val="24"/>
        </w:rPr>
        <w:t>）</w:t>
      </w:r>
    </w:p>
    <w:p>
      <w:pPr>
        <w:widowControl/>
        <w:spacing w:line="276" w:lineRule="auto"/>
        <w:ind w:left="1800" w:hanging="1800" w:hangingChars="750"/>
        <w:jc w:val="left"/>
        <w:rPr>
          <w:rFonts w:ascii="宋体" w:hAnsi="宋体" w:eastAsia="宋体"/>
          <w:color w:val="000000"/>
          <w:sz w:val="24"/>
          <w:szCs w:val="24"/>
          <w:shd w:val="clear" w:color="auto" w:fill="FFFFFF"/>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120" w:firstLineChars="50"/>
        <w:jc w:val="left"/>
        <w:rPr>
          <w:rFonts w:ascii="宋体" w:hAnsi="宋体" w:eastAsia="宋体" w:cs="宋体"/>
          <w:kern w:val="0"/>
          <w:sz w:val="24"/>
          <w:szCs w:val="24"/>
        </w:rPr>
      </w:pPr>
      <w:r>
        <w:rPr>
          <w:rFonts w:hint="eastAsia" w:ascii="宋体" w:hAnsi="宋体" w:eastAsia="宋体"/>
          <w:color w:val="000000"/>
          <w:sz w:val="24"/>
          <w:szCs w:val="24"/>
          <w:shd w:val="clear" w:color="auto" w:fill="FFFFFF"/>
        </w:rPr>
        <w:t>环保能源公司纪检小组 0592-6807596</w:t>
      </w:r>
    </w:p>
    <w:p>
      <w:pPr>
        <w:widowControl/>
        <w:spacing w:line="480"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5年</w:t>
      </w:r>
      <w:r>
        <w:rPr>
          <w:rFonts w:hint="eastAsia" w:ascii="宋体" w:hAnsi="宋体" w:eastAsia="宋体" w:cs="宋体"/>
          <w:b/>
          <w:kern w:val="0"/>
          <w:sz w:val="24"/>
          <w:szCs w:val="24"/>
          <w:lang w:val="en-US" w:eastAsia="zh-CN"/>
        </w:rPr>
        <w:t>11</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24</w:t>
      </w:r>
      <w:bookmarkStart w:id="74" w:name="_GoBack"/>
      <w:bookmarkEnd w:id="74"/>
      <w:r>
        <w:rPr>
          <w:rFonts w:hint="eastAsia" w:ascii="宋体" w:hAnsi="宋体" w:eastAsia="宋体" w:cs="宋体"/>
          <w:b/>
          <w:kern w:val="0"/>
          <w:sz w:val="24"/>
          <w:szCs w:val="24"/>
          <w:lang w:val="en-US" w:eastAsia="zh-CN"/>
        </w:rPr>
        <w:t xml:space="preserve"> </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jc w:val="center"/>
        <w:rPr>
          <w:rFonts w:ascii="宋体" w:hAnsi="宋体" w:eastAsia="宋体" w:cs="宋体"/>
          <w:b/>
          <w:kern w:val="0"/>
          <w:sz w:val="36"/>
          <w:szCs w:val="36"/>
        </w:rPr>
      </w:pPr>
    </w:p>
    <w:p>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询价文件中所述要求，应视为保证实现本项目所需要的最低要求，如有遗漏，报价方应予以补充，否则，一旦成交将认为报价方认同遗漏部分并免费提供。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询价</w:t>
      </w:r>
      <w:r>
        <w:rPr>
          <w:rFonts w:ascii="宋体" w:hAnsi="宋体" w:eastAsia="宋体" w:cs="宋体"/>
          <w:b/>
          <w:kern w:val="0"/>
          <w:sz w:val="36"/>
          <w:szCs w:val="36"/>
        </w:rPr>
        <w:t>须知</w:t>
      </w:r>
    </w:p>
    <w:p>
      <w:pPr>
        <w:pStyle w:val="3"/>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color w:val="3A3A3A"/>
          <w:sz w:val="24"/>
          <w:szCs w:val="24"/>
        </w:rPr>
        <w:t>盐酸</w:t>
      </w:r>
      <w:r>
        <w:rPr>
          <w:rFonts w:hint="eastAsia" w:ascii="宋体" w:hAnsi="宋体" w:eastAsia="宋体"/>
          <w:b w:val="0"/>
          <w:sz w:val="24"/>
          <w:szCs w:val="24"/>
        </w:rPr>
        <w:t>采购，采购方为厦门</w:t>
      </w:r>
      <w:r>
        <w:rPr>
          <w:rFonts w:hint="eastAsia" w:ascii="宋体" w:hAnsi="宋体" w:eastAsia="宋体"/>
          <w:sz w:val="24"/>
          <w:szCs w:val="24"/>
        </w:rPr>
        <w:t>海发</w:t>
      </w:r>
      <w:r>
        <w:rPr>
          <w:rFonts w:ascii="宋体" w:hAnsi="宋体" w:eastAsia="宋体"/>
          <w:sz w:val="24"/>
          <w:szCs w:val="24"/>
        </w:rPr>
        <w:t>环保能源股份</w:t>
      </w:r>
      <w:r>
        <w:rPr>
          <w:rFonts w:hint="eastAsia" w:ascii="宋体" w:hAnsi="宋体" w:eastAsia="宋体"/>
          <w:sz w:val="24"/>
          <w:szCs w:val="24"/>
        </w:rPr>
        <w:t>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3613348"/>
      <w:bookmarkStart w:id="2" w:name="_Toc32305_WPSOffice_Level2"/>
      <w:bookmarkStart w:id="3" w:name="_Toc33340836"/>
      <w:bookmarkStart w:id="4" w:name="_Toc260238414"/>
      <w:bookmarkStart w:id="5" w:name="_Toc293413478"/>
      <w:bookmarkStart w:id="6" w:name="_Toc229281569"/>
      <w:bookmarkStart w:id="7" w:name="_Toc24455231"/>
      <w:bookmarkStart w:id="8" w:name="_Toc24083811"/>
      <w:bookmarkStart w:id="9" w:name="_Toc514_WPSOffice_Level2"/>
      <w:bookmarkStart w:id="10" w:name="_Toc260230610"/>
      <w:bookmarkStart w:id="11" w:name="_Toc32472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询价邀请函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询价须知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293413479"/>
      <w:bookmarkStart w:id="13" w:name="_Toc32292_WPSOffice_Level2"/>
      <w:bookmarkStart w:id="14" w:name="_Toc11355_WPSOffice_Level2"/>
      <w:bookmarkStart w:id="15" w:name="_Toc20923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bookmarkEnd w:id="12"/>
    <w:bookmarkEnd w:id="13"/>
    <w:bookmarkEnd w:id="14"/>
    <w:bookmarkEnd w:id="15"/>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采购文件进行修改。由于采购文件的修改可适当延长报价文件投递截止时间。采购文件的修订将在相应招标公告网站进行公告，并作为采购文件的一部分，对供应商有约束力。意向供应商在投标前应给予关注。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eastAsia="宋体"/>
          <w:sz w:val="24"/>
          <w:szCs w:val="24"/>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480"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24455233"/>
      <w:bookmarkStart w:id="17" w:name="_Toc229281571"/>
      <w:bookmarkStart w:id="18" w:name="_Toc33340838"/>
      <w:bookmarkStart w:id="19" w:name="_Toc293413480"/>
      <w:bookmarkStart w:id="20" w:name="_Toc24083813"/>
      <w:bookmarkStart w:id="21" w:name="_Toc1802_WPSOffice_Level2"/>
      <w:bookmarkStart w:id="22" w:name="_Toc17624_WPSOffice_Level2"/>
      <w:bookmarkStart w:id="23" w:name="_Toc12004_WPSOffice_Level2"/>
      <w:bookmarkStart w:id="24" w:name="_Toc260238416"/>
      <w:bookmarkStart w:id="25" w:name="_Toc26023061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报价文件的递交。报价方必须按询价邀请函的要求在规定的时间内将报价文件送达或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rPr>
        <w:t>询价与评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rPr>
          <w:rFonts w:ascii="宋体" w:hAnsi="宋体" w:cs="宋体"/>
          <w:sz w:val="24"/>
        </w:rPr>
      </w:pPr>
      <w:bookmarkStart w:id="27" w:name="_Toc445748261"/>
      <w:bookmarkStart w:id="28" w:name="_Toc422416153"/>
      <w:bookmarkStart w:id="29" w:name="_Toc462647056"/>
      <w:bookmarkStart w:id="30" w:name="_Toc449373772"/>
      <w:bookmarkStart w:id="31" w:name="_Toc449635679"/>
      <w:bookmarkStart w:id="32" w:name="_Toc445991603"/>
      <w:bookmarkStart w:id="33" w:name="_Toc445901129"/>
      <w:bookmarkStart w:id="34" w:name="_Toc444614425"/>
      <w:bookmarkStart w:id="35" w:name="_Toc422906617"/>
      <w:bookmarkStart w:id="36" w:name="_Toc441500070"/>
      <w:bookmarkStart w:id="37" w:name="_Toc420577581"/>
      <w:bookmarkStart w:id="38" w:name="_Toc425266324"/>
      <w:bookmarkStart w:id="39" w:name="_Toc421773672"/>
      <w:bookmarkStart w:id="40" w:name="_Toc439661731"/>
      <w:bookmarkStart w:id="41" w:name="_Toc441224335"/>
      <w:bookmarkStart w:id="42" w:name="_Toc440899515"/>
      <w:bookmarkStart w:id="43" w:name="_Toc457383223"/>
      <w:bookmarkStart w:id="44" w:name="_Toc418522815"/>
      <w:r>
        <w:rPr>
          <w:rFonts w:hint="eastAsia" w:ascii="宋体" w:hAnsi="宋体" w:cs="宋体"/>
          <w:sz w:val="24"/>
        </w:rPr>
        <w:t>5.1.4.4本项目若属于首次进行询价采购的，在采购过程中出现下列情况的，本次询价失败：</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5.1.4.4.1在规定的时间前提交响应文件的供应商不足三家的；</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5.1.4.4.2质量和服务均能满足采购文件实质性要求的有效供应商不足三家的；</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5.1.4.4.3报价未超过采购最高限价的有效供应商不足三家的。</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5.1.4.5本项目若属于首次询价采购失败后进行的第二次采购活动的，在采购过程中出现下列情况的，本次询价失败：</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5.1.4.5.1在规定的时间前提交响应文件的供应商不足两家的；</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5.1.4.5.2质量和服务均能满足采购文件实质性要求的有效供应商不足两家的；</w:t>
      </w:r>
    </w:p>
    <w:p>
      <w:pPr>
        <w:tabs>
          <w:tab w:val="left" w:pos="0"/>
        </w:tabs>
        <w:kinsoku w:val="0"/>
        <w:overflowPunct w:val="0"/>
        <w:spacing w:line="400" w:lineRule="atLeast"/>
        <w:jc w:val="left"/>
        <w:rPr>
          <w:rFonts w:ascii="宋体" w:hAnsi="宋体" w:eastAsia="宋体" w:cs="宋体"/>
          <w:sz w:val="24"/>
          <w:szCs w:val="24"/>
        </w:rPr>
      </w:pPr>
      <w:r>
        <w:rPr>
          <w:rFonts w:hint="eastAsia" w:ascii="宋体" w:hAnsi="宋体" w:cs="宋体"/>
          <w:sz w:val="24"/>
        </w:rPr>
        <w:t>5.1.4.5.3报价未超过采购最高限价的有效供应商不足两家的。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评审询价小组对具备实质性的报价文件进行评估和比较。评审询价小组成员由采购方相关人员组成，评审询价小组将严格按照询价文件的要求和条件对所有报价文件进行评审。</w:t>
      </w:r>
    </w:p>
    <w:p>
      <w:pPr>
        <w:tabs>
          <w:tab w:val="left" w:pos="1019"/>
        </w:tabs>
        <w:adjustRightInd w:val="0"/>
        <w:snapToGrid w:val="0"/>
        <w:spacing w:line="360" w:lineRule="auto"/>
        <w:rPr>
          <w:rFonts w:ascii="宋体" w:hAnsi="宋体"/>
          <w:sz w:val="24"/>
          <w:szCs w:val="24"/>
        </w:rPr>
      </w:pPr>
      <w:r>
        <w:rPr>
          <w:rFonts w:hint="eastAsia" w:ascii="宋体" w:hAnsi="宋体"/>
          <w:sz w:val="24"/>
          <w:szCs w:val="24"/>
        </w:rPr>
        <w:t>5.2.1.1</w:t>
      </w:r>
      <w:r>
        <w:rPr>
          <w:rFonts w:hint="eastAsia" w:ascii="宋体" w:hAnsi="宋体" w:cs="宋体"/>
          <w:sz w:val="24"/>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报价文件未按询价文件规定盖报价单位公章、签字、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napToGrid w:val="0"/>
        <w:spacing w:line="360" w:lineRule="auto"/>
        <w:jc w:val="left"/>
        <w:rPr>
          <w:rFonts w:ascii="宋体" w:hAnsi="宋体"/>
          <w:sz w:val="24"/>
          <w:szCs w:val="24"/>
        </w:rPr>
      </w:pPr>
      <w:r>
        <w:rPr>
          <w:rFonts w:hint="eastAsia" w:ascii="宋体" w:hAnsi="宋体" w:cs="宋体"/>
          <w:kern w:val="0"/>
          <w:sz w:val="24"/>
        </w:rPr>
        <w:t>5.2.3询价规则及成交原则</w:t>
      </w:r>
    </w:p>
    <w:p>
      <w:pPr>
        <w:widowControl/>
        <w:snapToGrid w:val="0"/>
        <w:spacing w:line="360" w:lineRule="auto"/>
        <w:jc w:val="left"/>
        <w:rPr>
          <w:rFonts w:ascii="宋体" w:hAnsi="宋体" w:cs="宋体"/>
          <w:kern w:val="0"/>
          <w:sz w:val="24"/>
        </w:rPr>
      </w:pPr>
      <w:r>
        <w:rPr>
          <w:rFonts w:hint="eastAsia" w:ascii="宋体" w:hAnsi="宋体" w:cs="宋体"/>
          <w:kern w:val="0"/>
          <w:sz w:val="24"/>
        </w:rPr>
        <w:t>5.2.3.1询价小组对提交</w:t>
      </w:r>
      <w:r>
        <w:rPr>
          <w:rFonts w:hint="eastAsia" w:ascii="宋体" w:hAnsi="宋体" w:cs="宋体"/>
          <w:sz w:val="24"/>
        </w:rPr>
        <w:t>响应文件</w:t>
      </w:r>
      <w:r>
        <w:rPr>
          <w:rFonts w:hint="eastAsia" w:ascii="宋体" w:hAnsi="宋体" w:cs="宋体"/>
          <w:kern w:val="0"/>
          <w:sz w:val="24"/>
        </w:rPr>
        <w:t>的供应商进行初步审查（即资格及符合性审查），以确定其是否具备参与</w:t>
      </w:r>
      <w:r>
        <w:rPr>
          <w:rFonts w:hint="eastAsia" w:ascii="宋体" w:hAnsi="宋体" w:cs="宋体"/>
          <w:sz w:val="24"/>
        </w:rPr>
        <w:t>报价</w:t>
      </w:r>
      <w:r>
        <w:rPr>
          <w:rFonts w:hint="eastAsia" w:ascii="宋体" w:hAnsi="宋体" w:cs="宋体"/>
          <w:kern w:val="0"/>
          <w:sz w:val="24"/>
        </w:rPr>
        <w:t>的资格。</w:t>
      </w:r>
    </w:p>
    <w:p>
      <w:pPr>
        <w:widowControl/>
        <w:snapToGrid w:val="0"/>
        <w:spacing w:line="360" w:lineRule="auto"/>
        <w:jc w:val="left"/>
        <w:rPr>
          <w:rFonts w:ascii="宋体" w:hAnsi="宋体" w:cs="宋体"/>
          <w:kern w:val="0"/>
          <w:sz w:val="24"/>
        </w:rPr>
      </w:pPr>
      <w:r>
        <w:rPr>
          <w:rFonts w:hint="eastAsia" w:ascii="宋体" w:hAnsi="宋体" w:cs="宋体"/>
          <w:kern w:val="0"/>
          <w:sz w:val="24"/>
        </w:rPr>
        <w:t>5.2.3.2 询价小组在对具备资格供应商的</w:t>
      </w:r>
      <w:r>
        <w:rPr>
          <w:rFonts w:hint="eastAsia" w:ascii="宋体" w:hAnsi="宋体" w:cs="宋体"/>
          <w:sz w:val="24"/>
        </w:rPr>
        <w:t>响应文件</w:t>
      </w:r>
      <w:r>
        <w:rPr>
          <w:rFonts w:hint="eastAsia" w:ascii="宋体" w:hAnsi="宋体" w:cs="宋体"/>
          <w:kern w:val="0"/>
          <w:sz w:val="24"/>
        </w:rPr>
        <w:t>的有效性、完整性和响应程度进行审查时，可以要求供应商对</w:t>
      </w:r>
      <w:r>
        <w:rPr>
          <w:rFonts w:hint="eastAsia" w:ascii="宋体" w:hAnsi="宋体" w:cs="宋体"/>
          <w:sz w:val="24"/>
        </w:rPr>
        <w:t>响应文件</w:t>
      </w:r>
      <w:r>
        <w:rPr>
          <w:rFonts w:hint="eastAsia" w:ascii="宋体" w:hAnsi="宋体" w:cs="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cs="宋体"/>
          <w:sz w:val="24"/>
        </w:rPr>
        <w:t>响应文件</w:t>
      </w:r>
      <w:r>
        <w:rPr>
          <w:rFonts w:hint="eastAsia" w:ascii="宋体" w:hAnsi="宋体" w:cs="宋体"/>
          <w:kern w:val="0"/>
          <w:sz w:val="24"/>
        </w:rPr>
        <w:t>的范围或者改变</w:t>
      </w:r>
      <w:r>
        <w:rPr>
          <w:rFonts w:hint="eastAsia" w:ascii="宋体" w:hAnsi="宋体" w:cs="宋体"/>
          <w:sz w:val="24"/>
        </w:rPr>
        <w:t>响应文件</w:t>
      </w:r>
      <w:r>
        <w:rPr>
          <w:rFonts w:hint="eastAsia" w:ascii="宋体" w:hAnsi="宋体" w:cs="宋体"/>
          <w:kern w:val="0"/>
          <w:sz w:val="24"/>
        </w:rPr>
        <w:t>的实质性内容。</w:t>
      </w:r>
    </w:p>
    <w:p>
      <w:pPr>
        <w:widowControl/>
        <w:snapToGrid w:val="0"/>
        <w:spacing w:line="360" w:lineRule="auto"/>
        <w:jc w:val="left"/>
        <w:rPr>
          <w:rFonts w:ascii="宋体" w:hAnsi="宋体" w:cs="宋体"/>
          <w:sz w:val="24"/>
        </w:rPr>
      </w:pPr>
      <w:r>
        <w:rPr>
          <w:rFonts w:hint="eastAsia" w:ascii="宋体" w:hAnsi="宋体" w:cs="宋体"/>
          <w:sz w:val="24"/>
        </w:rPr>
        <w:t>5.2.3.3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napToGrid w:val="0"/>
        <w:spacing w:line="360" w:lineRule="auto"/>
        <w:jc w:val="left"/>
        <w:rPr>
          <w:rFonts w:ascii="宋体" w:hAnsi="宋体" w:cs="宋体"/>
          <w:kern w:val="0"/>
          <w:sz w:val="24"/>
        </w:rPr>
      </w:pPr>
      <w:r>
        <w:rPr>
          <w:rFonts w:hint="eastAsia" w:ascii="宋体" w:hAnsi="宋体" w:cs="宋体"/>
          <w:kern w:val="0"/>
          <w:sz w:val="24"/>
        </w:rPr>
        <w:t>5.2.3.4 询价小组在询价过程中，不得改变询价通知书所确定的技术和服务等要求、评审程序、评定成交的标准和合同文本等事项。</w:t>
      </w:r>
    </w:p>
    <w:p>
      <w:pPr>
        <w:widowControl/>
        <w:snapToGrid w:val="0"/>
        <w:spacing w:line="360" w:lineRule="auto"/>
        <w:jc w:val="left"/>
        <w:rPr>
          <w:rFonts w:ascii="宋体" w:hAnsi="宋体" w:cs="宋体"/>
          <w:kern w:val="0"/>
          <w:sz w:val="24"/>
        </w:rPr>
      </w:pPr>
      <w:r>
        <w:rPr>
          <w:rFonts w:hint="eastAsia" w:ascii="宋体" w:hAnsi="宋体" w:cs="宋体"/>
          <w:kern w:val="0"/>
          <w:sz w:val="24"/>
        </w:rPr>
        <w:t>5.2.3.5 参加询价采购活动的供应商，应当按照询价通知书的规定一次报出不得更改的报价。</w:t>
      </w:r>
    </w:p>
    <w:p>
      <w:pPr>
        <w:pStyle w:val="7"/>
        <w:rPr>
          <w:rFonts w:ascii="宋体" w:hAnsi="宋体" w:eastAsia="宋体" w:cs="宋体"/>
          <w:sz w:val="24"/>
        </w:rPr>
      </w:pPr>
      <w:r>
        <w:rPr>
          <w:rFonts w:hint="eastAsia" w:ascii="宋体" w:hAnsi="宋体" w:cs="宋体"/>
          <w:kern w:val="0"/>
          <w:sz w:val="24"/>
        </w:rPr>
        <w:t>5.2.3.</w:t>
      </w:r>
      <w:r>
        <w:rPr>
          <w:rFonts w:hint="eastAsia" w:ascii="宋体" w:hAnsi="宋体" w:eastAsia="宋体" w:cs="宋体"/>
          <w:sz w:val="24"/>
        </w:rPr>
        <w:t>6 本次询价采用经综合评审合格且最低价成交法。询价小组从质量和服务均能满足采购文件实质性响应要求的供应商中，根据有效报价总价由低到高推荐成交候选供应商；有效报价总价相同的，询价小组根据随机原则确定排名。询价小组根据以上排列顺序推荐成交候选供应商的成交候选顺序。</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 响应文件报价出现前后不一致的，除询价文件另有规定外，按照下列规定修正：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pPr>
        <w:tabs>
          <w:tab w:val="left" w:pos="0"/>
        </w:tabs>
        <w:snapToGrid w:val="0"/>
        <w:spacing w:line="360" w:lineRule="auto"/>
        <w:ind w:right="105" w:rightChars="50" w:firstLine="480" w:firstLineChars="200"/>
        <w:jc w:val="left"/>
        <w:rPr>
          <w:rFonts w:ascii="宋体" w:hAnsi="宋体" w:cs="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widowControl/>
        <w:snapToGrid w:val="0"/>
        <w:spacing w:line="360" w:lineRule="auto"/>
        <w:ind w:right="105" w:rightChars="50"/>
        <w:jc w:val="left"/>
        <w:rPr>
          <w:rFonts w:ascii="宋体" w:hAnsi="宋体" w:cs="宋体"/>
        </w:rPr>
      </w:pP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成交供应商应在接到成交通知书，五个工作日内与采购方签订合同，采购方和成交供应商不得另行订立背离合同实质性内容的其它协议。</w:t>
      </w:r>
    </w:p>
    <w:p>
      <w:pPr>
        <w:pStyle w:val="3"/>
        <w:keepNext w:val="0"/>
        <w:keepLines w:val="0"/>
        <w:spacing w:before="0" w:after="0" w:line="480" w:lineRule="auto"/>
        <w:jc w:val="both"/>
        <w:textAlignment w:val="auto"/>
        <w:rPr>
          <w:rFonts w:ascii="宋体" w:hAnsi="宋体"/>
          <w:b w:val="0"/>
          <w:sz w:val="24"/>
          <w:szCs w:val="24"/>
        </w:rPr>
      </w:pPr>
      <w:r>
        <w:rPr>
          <w:rFonts w:ascii="宋体" w:hAnsi="宋体" w:eastAsia="宋体"/>
          <w:b w:val="0"/>
          <w:sz w:val="24"/>
          <w:szCs w:val="24"/>
        </w:rPr>
        <w:t>6.3</w:t>
      </w:r>
      <w:r>
        <w:rPr>
          <w:rFonts w:hint="eastAsia" w:ascii="宋体" w:hAnsi="宋体" w:eastAsia="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eastAsia="宋体"/>
          <w:b w:val="0"/>
          <w:sz w:val="24"/>
          <w:szCs w:val="24"/>
        </w:rPr>
        <w:t>，以此类推，或重新组织采购。</w:t>
      </w:r>
    </w:p>
    <w:p>
      <w:pPr>
        <w:rPr>
          <w:rFonts w:ascii="宋体" w:hAnsi="宋体"/>
          <w:sz w:val="24"/>
          <w:szCs w:val="24"/>
        </w:rPr>
      </w:pPr>
    </w:p>
    <w:p>
      <w:pPr>
        <w:rPr>
          <w:b/>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1"/>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）生产需求，现进行盐酸采购，各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 xml:space="preserve">项目名称： </w:t>
      </w:r>
      <w:r>
        <w:rPr>
          <w:rFonts w:hint="eastAsia" w:ascii="宋体" w:hAnsi="宋体" w:eastAsia="宋体" w:cs="宋体"/>
          <w:color w:val="3A3A3A"/>
          <w:kern w:val="0"/>
          <w:sz w:val="24"/>
          <w:szCs w:val="24"/>
        </w:rPr>
        <w:t>盐酸</w:t>
      </w:r>
      <w:r>
        <w:rPr>
          <w:rFonts w:hint="eastAsia" w:ascii="宋体" w:hAnsi="宋体" w:eastAsia="宋体" w:cs="宋体"/>
          <w:color w:val="000000" w:themeColor="text1"/>
          <w:kern w:val="0"/>
          <w:sz w:val="24"/>
          <w:szCs w:val="24"/>
          <w14:textFill>
            <w14:solidFill>
              <w14:schemeClr w14:val="tx1"/>
            </w14:solidFill>
          </w14:textFill>
        </w:rPr>
        <w:t>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8"/>
        <w:tblpPr w:leftFromText="180" w:rightFromText="180" w:vertAnchor="text" w:horzAnchor="page" w:tblpX="1364" w:tblpY="523"/>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70"/>
        <w:gridCol w:w="2010"/>
        <w:gridCol w:w="172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77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01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新阳热电需求数量</w:t>
            </w:r>
          </w:p>
        </w:tc>
        <w:tc>
          <w:tcPr>
            <w:tcW w:w="172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同集热电需求量</w:t>
            </w:r>
          </w:p>
        </w:tc>
        <w:tc>
          <w:tcPr>
            <w:tcW w:w="3056"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70"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cs="宋体"/>
                <w:kern w:val="0"/>
                <w:szCs w:val="21"/>
              </w:rPr>
              <w:t>盐酸</w:t>
            </w:r>
          </w:p>
        </w:tc>
        <w:tc>
          <w:tcPr>
            <w:tcW w:w="2010" w:type="dxa"/>
            <w:vAlign w:val="center"/>
          </w:tcPr>
          <w:p>
            <w:pPr>
              <w:widowControl/>
              <w:spacing w:line="276" w:lineRule="auto"/>
              <w:jc w:val="center"/>
              <w:rPr>
                <w:rFonts w:ascii="宋体" w:hAnsi="宋体" w:eastAsia="宋体" w:cs="宋体"/>
                <w:color w:val="000000"/>
                <w:kern w:val="0"/>
                <w:sz w:val="24"/>
                <w:szCs w:val="24"/>
              </w:rPr>
            </w:pPr>
            <w:r>
              <w:rPr>
                <w:rFonts w:ascii="宋体" w:hAnsi="宋体" w:eastAsia="宋体" w:cs="Times New Roman"/>
                <w:color w:val="000000"/>
                <w:kern w:val="0"/>
                <w:sz w:val="24"/>
                <w:szCs w:val="24"/>
              </w:rPr>
              <w:t>2</w:t>
            </w:r>
            <w:r>
              <w:rPr>
                <w:rFonts w:hint="eastAsia" w:ascii="宋体" w:hAnsi="宋体" w:eastAsia="宋体" w:cs="Times New Roman"/>
                <w:color w:val="000000"/>
                <w:kern w:val="0"/>
                <w:sz w:val="24"/>
                <w:szCs w:val="24"/>
                <w:lang w:val="en-US" w:eastAsia="zh-CN"/>
              </w:rPr>
              <w:t>2</w:t>
            </w:r>
            <w:r>
              <w:rPr>
                <w:rFonts w:ascii="宋体" w:hAnsi="宋体" w:eastAsia="宋体" w:cs="Times New Roman"/>
                <w:color w:val="000000"/>
                <w:kern w:val="0"/>
                <w:sz w:val="24"/>
                <w:szCs w:val="24"/>
              </w:rPr>
              <w:t>0</w:t>
            </w:r>
            <w:r>
              <w:rPr>
                <w:rFonts w:hint="eastAsia" w:ascii="宋体" w:hAnsi="宋体" w:eastAsia="宋体" w:cs="Times New Roman"/>
                <w:color w:val="000000"/>
                <w:kern w:val="0"/>
                <w:sz w:val="24"/>
                <w:szCs w:val="24"/>
              </w:rPr>
              <w:t>吨</w:t>
            </w:r>
          </w:p>
        </w:tc>
        <w:tc>
          <w:tcPr>
            <w:tcW w:w="172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80吨</w:t>
            </w:r>
          </w:p>
        </w:tc>
        <w:tc>
          <w:tcPr>
            <w:tcW w:w="3056"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Cs w:val="21"/>
              </w:rPr>
              <w:t>浓度≥3</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高纯酸）</w:t>
            </w:r>
          </w:p>
        </w:tc>
      </w:tr>
    </w:tbl>
    <w:p>
      <w:pPr>
        <w:widowControl/>
        <w:spacing w:line="360" w:lineRule="auto"/>
        <w:jc w:val="left"/>
        <w:rPr>
          <w:rFonts w:ascii="宋体" w:hAnsi="宋体" w:cs="宋体"/>
          <w:color w:val="FF0000"/>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431"/>
        <w:gridCol w:w="454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3"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序号</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color w:val="000000"/>
                <w:sz w:val="24"/>
                <w:szCs w:val="21"/>
              </w:rPr>
              <w:t>检验质量（</w:t>
            </w:r>
            <w:r>
              <w:rPr>
                <w:rFonts w:ascii="宋体" w:hAnsi="宋体"/>
                <w:color w:val="000000"/>
                <w:sz w:val="24"/>
                <w:szCs w:val="21"/>
              </w:rPr>
              <w:t>浓度）</w:t>
            </w:r>
          </w:p>
        </w:tc>
        <w:tc>
          <w:tcPr>
            <w:tcW w:w="4548" w:type="dxa"/>
            <w:shd w:val="clear" w:color="auto" w:fill="auto"/>
            <w:vAlign w:val="center"/>
          </w:tcPr>
          <w:p>
            <w:pPr>
              <w:spacing w:line="480" w:lineRule="auto"/>
              <w:ind w:firstLine="720" w:firstLineChars="300"/>
              <w:rPr>
                <w:rFonts w:ascii="宋体" w:hAnsi="宋体"/>
                <w:color w:val="000000"/>
                <w:sz w:val="24"/>
                <w:szCs w:val="21"/>
              </w:rPr>
            </w:pPr>
            <w:r>
              <w:rPr>
                <w:rFonts w:hint="eastAsia" w:ascii="宋体" w:hAnsi="宋体"/>
                <w:color w:val="000000"/>
                <w:sz w:val="24"/>
                <w:szCs w:val="21"/>
              </w:rPr>
              <w:t>结算</w:t>
            </w:r>
            <w:r>
              <w:rPr>
                <w:rFonts w:ascii="宋体" w:hAnsi="宋体"/>
                <w:color w:val="000000"/>
                <w:sz w:val="24"/>
                <w:szCs w:val="21"/>
              </w:rPr>
              <w:t>价</w:t>
            </w:r>
          </w:p>
        </w:tc>
        <w:tc>
          <w:tcPr>
            <w:tcW w:w="1388" w:type="dxa"/>
          </w:tcPr>
          <w:p>
            <w:pPr>
              <w:spacing w:line="480" w:lineRule="auto"/>
              <w:ind w:firstLine="480" w:firstLineChars="200"/>
              <w:rPr>
                <w:rFonts w:ascii="宋体" w:hAnsi="宋体"/>
                <w:color w:val="000000"/>
                <w:sz w:val="24"/>
                <w:szCs w:val="21"/>
              </w:rPr>
            </w:pPr>
            <w:r>
              <w:rPr>
                <w:rFonts w:hint="eastAsia" w:ascii="宋体" w:hAnsi="宋体"/>
                <w:color w:val="000000"/>
                <w:sz w:val="24"/>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1</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sz w:val="24"/>
                <w:szCs w:val="21"/>
              </w:rPr>
              <w:t>浓度≥</w:t>
            </w:r>
            <w:r>
              <w:rPr>
                <w:rFonts w:ascii="宋体" w:hAnsi="宋体"/>
                <w:sz w:val="24"/>
                <w:szCs w:val="21"/>
              </w:rPr>
              <w:t>31%</w:t>
            </w:r>
          </w:p>
        </w:tc>
        <w:tc>
          <w:tcPr>
            <w:tcW w:w="4548"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按成交价</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2</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ascii="宋体" w:hAnsi="宋体"/>
                <w:sz w:val="24"/>
                <w:szCs w:val="21"/>
              </w:rPr>
              <w:t>31%</w:t>
            </w:r>
            <w:r>
              <w:rPr>
                <w:rFonts w:hint="eastAsia" w:ascii="宋体" w:hAnsi="宋体"/>
                <w:sz w:val="24"/>
                <w:szCs w:val="21"/>
              </w:rPr>
              <w:t>＞浓度≥</w:t>
            </w:r>
            <w:r>
              <w:rPr>
                <w:rFonts w:ascii="宋体" w:hAnsi="宋体"/>
                <w:sz w:val="24"/>
                <w:szCs w:val="21"/>
              </w:rPr>
              <w:t>29%</w:t>
            </w:r>
          </w:p>
        </w:tc>
        <w:tc>
          <w:tcPr>
            <w:tcW w:w="4548"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sz w:val="24"/>
                <w:szCs w:val="21"/>
              </w:rPr>
              <w:t>扣除该</w:t>
            </w:r>
            <w:r>
              <w:rPr>
                <w:rFonts w:ascii="宋体" w:hAnsi="宋体"/>
                <w:color w:val="000000"/>
                <w:sz w:val="24"/>
                <w:szCs w:val="21"/>
              </w:rPr>
              <w:t>批次金额的10%</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3</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ascii="宋体" w:hAnsi="宋体"/>
                <w:color w:val="000000"/>
                <w:sz w:val="24"/>
                <w:szCs w:val="21"/>
              </w:rPr>
              <w:t>29%</w:t>
            </w:r>
            <w:r>
              <w:rPr>
                <w:rFonts w:hint="eastAsia" w:ascii="宋体" w:hAnsi="宋体"/>
                <w:color w:val="000000"/>
                <w:sz w:val="24"/>
                <w:szCs w:val="21"/>
              </w:rPr>
              <w:t>＞</w:t>
            </w:r>
            <w:r>
              <w:rPr>
                <w:rFonts w:ascii="宋体" w:hAnsi="宋体"/>
                <w:color w:val="000000"/>
                <w:sz w:val="24"/>
                <w:szCs w:val="21"/>
              </w:rPr>
              <w:t>浓度＞28%</w:t>
            </w:r>
          </w:p>
        </w:tc>
        <w:tc>
          <w:tcPr>
            <w:tcW w:w="4548"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扣除该</w:t>
            </w:r>
            <w:r>
              <w:rPr>
                <w:rFonts w:ascii="宋体" w:hAnsi="宋体"/>
                <w:color w:val="000000"/>
                <w:sz w:val="24"/>
                <w:szCs w:val="21"/>
              </w:rPr>
              <w:t>批次金额的2</w:t>
            </w:r>
            <w:r>
              <w:rPr>
                <w:rFonts w:hint="eastAsia" w:ascii="宋体" w:hAnsi="宋体"/>
                <w:color w:val="000000"/>
                <w:sz w:val="24"/>
                <w:szCs w:val="21"/>
              </w:rPr>
              <w:t>0</w:t>
            </w:r>
            <w:r>
              <w:rPr>
                <w:rFonts w:ascii="宋体" w:hAnsi="宋体"/>
                <w:color w:val="000000"/>
                <w:sz w:val="24"/>
                <w:szCs w:val="21"/>
              </w:rPr>
              <w:t>%</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4</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color w:val="000000"/>
                <w:sz w:val="24"/>
                <w:szCs w:val="21"/>
              </w:rPr>
              <w:t>浓度≤</w:t>
            </w:r>
            <w:r>
              <w:rPr>
                <w:rFonts w:ascii="宋体" w:hAnsi="宋体"/>
                <w:color w:val="000000"/>
                <w:sz w:val="24"/>
                <w:szCs w:val="21"/>
              </w:rPr>
              <w:t>28%</w:t>
            </w:r>
          </w:p>
        </w:tc>
        <w:tc>
          <w:tcPr>
            <w:tcW w:w="4548" w:type="dxa"/>
            <w:shd w:val="clear" w:color="auto" w:fill="auto"/>
            <w:vAlign w:val="center"/>
          </w:tcPr>
          <w:p>
            <w:pPr>
              <w:rPr>
                <w:rFonts w:ascii="宋体" w:hAnsi="宋体"/>
                <w:color w:val="000000"/>
                <w:sz w:val="24"/>
                <w:szCs w:val="21"/>
              </w:rPr>
            </w:pPr>
            <w:r>
              <w:rPr>
                <w:rFonts w:hint="eastAsia" w:ascii="宋体" w:hAnsi="宋体"/>
                <w:color w:val="000000"/>
                <w:sz w:val="24"/>
                <w:szCs w:val="21"/>
              </w:rPr>
              <w:t>需方</w:t>
            </w:r>
            <w:r>
              <w:rPr>
                <w:rFonts w:ascii="宋体" w:hAnsi="宋体"/>
                <w:color w:val="000000"/>
                <w:sz w:val="24"/>
                <w:szCs w:val="21"/>
              </w:rPr>
              <w:t>将无</w:t>
            </w:r>
            <w:r>
              <w:rPr>
                <w:rFonts w:hint="eastAsia" w:ascii="宋体" w:hAnsi="宋体"/>
                <w:color w:val="000000"/>
                <w:sz w:val="24"/>
                <w:szCs w:val="21"/>
              </w:rPr>
              <w:t>偿使用该批次产品或有权要求供方退换该批次全部产品，因此造成的损失由供方负责</w:t>
            </w:r>
            <w:r>
              <w:rPr>
                <w:rFonts w:ascii="宋体" w:hAnsi="宋体"/>
                <w:color w:val="000000"/>
                <w:sz w:val="24"/>
                <w:szCs w:val="21"/>
              </w:rPr>
              <w:t>。</w:t>
            </w:r>
          </w:p>
        </w:tc>
        <w:tc>
          <w:tcPr>
            <w:tcW w:w="1388" w:type="dxa"/>
          </w:tcPr>
          <w:p>
            <w:pPr>
              <w:spacing w:line="480" w:lineRule="auto"/>
              <w:rPr>
                <w:rFonts w:ascii="宋体" w:hAnsi="宋体"/>
                <w:color w:val="000000"/>
                <w:sz w:val="24"/>
                <w:szCs w:val="21"/>
              </w:rPr>
            </w:pP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FF0000"/>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w:t>
      </w:r>
      <w:r>
        <w:rPr>
          <w:rFonts w:hint="eastAsia" w:ascii="宋体" w:hAnsi="宋体" w:eastAsia="宋体" w:cs="宋体"/>
          <w:color w:val="FF0000"/>
          <w:kern w:val="0"/>
          <w:sz w:val="24"/>
          <w:szCs w:val="24"/>
        </w:rPr>
        <w:t>月至202</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6</w:t>
      </w:r>
      <w:r>
        <w:rPr>
          <w:rFonts w:hint="eastAsia" w:ascii="宋体" w:hAnsi="宋体" w:eastAsia="宋体" w:cs="宋体"/>
          <w:color w:val="FF0000"/>
          <w:kern w:val="0"/>
          <w:sz w:val="24"/>
          <w:szCs w:val="24"/>
        </w:rPr>
        <w:t>月，</w:t>
      </w:r>
      <w:r>
        <w:rPr>
          <w:rFonts w:hint="eastAsia" w:ascii="宋体" w:hAnsi="宋体" w:eastAsia="宋体" w:cs="宋体"/>
          <w:kern w:val="0"/>
          <w:sz w:val="24"/>
          <w:szCs w:val="24"/>
        </w:rPr>
        <w:t>具体以需方通知为准。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ascii="宋体" w:hAnsi="宋体"/>
          <w:sz w:val="24"/>
          <w:szCs w:val="24"/>
        </w:rPr>
        <w:t>厦门市海沧</w:t>
      </w:r>
      <w:r>
        <w:rPr>
          <w:rFonts w:ascii="宋体" w:hAnsi="宋体"/>
          <w:sz w:val="24"/>
          <w:szCs w:val="24"/>
        </w:rPr>
        <w:t>区阳光西路</w:t>
      </w:r>
      <w:r>
        <w:rPr>
          <w:rFonts w:hint="eastAsia" w:ascii="宋体" w:hAnsi="宋体"/>
          <w:sz w:val="24"/>
          <w:szCs w:val="24"/>
        </w:rPr>
        <w:t>288号、厦门市同安区美禾三路399号</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cs="宋体" w:asciiTheme="minorEastAsia" w:hAnsiTheme="minorEastAsia"/>
          <w:b/>
          <w:bCs/>
          <w:color w:val="000000" w:themeColor="text1"/>
          <w:kern w:val="0"/>
          <w:sz w:val="24"/>
          <w:szCs w:val="24"/>
          <w14:textFill>
            <w14:solidFill>
              <w14:schemeClr w14:val="tx1"/>
            </w14:solidFill>
          </w14:textFill>
        </w:rPr>
        <w:t>海发环能</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ascii="宋体" w:hAnsi="宋体" w:cs="宋体"/>
          <w:b/>
          <w:kern w:val="0"/>
          <w:sz w:val="24"/>
        </w:rPr>
        <w:t>30</w:t>
      </w:r>
      <w:r>
        <w:rPr>
          <w:rFonts w:hint="eastAsia" w:ascii="宋体" w:hAnsi="宋体" w:cs="宋体"/>
          <w:b/>
          <w:kern w:val="0"/>
          <w:sz w:val="24"/>
        </w:rPr>
        <w:t>吨，同集热电分批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约12吨。</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数量验收：以采购方厂内电子汽车衡的计量数量为准，双方共同监磅，并作为结算依据。如成交供应商需要，可以委托第三方进行过磅校验，费用由成交供应商负责，每次送货需提供该批次产品出厂检验报告。</w:t>
      </w:r>
    </w:p>
    <w:p>
      <w:pPr>
        <w:spacing w:line="540" w:lineRule="exact"/>
        <w:rPr>
          <w:rFonts w:ascii="宋体" w:hAnsi="宋体" w:cs="宋体"/>
          <w:color w:val="333333"/>
          <w:kern w:val="0"/>
          <w:sz w:val="24"/>
          <w:szCs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Theme="minorEastAsia" w:hAnsiTheme="minorEastAsia"/>
          <w:szCs w:val="21"/>
        </w:rPr>
        <w:t>采购方分阶段对产品取样,化验由化验室人员按照现有的设备进行化验，并以化验出来的结果作为结算依据。</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批次结算，具体以合同约定为依据</w:t>
      </w:r>
      <w:r>
        <w:rPr>
          <w:rFonts w:cs="宋体" w:asciiTheme="minorEastAsia" w:hAnsiTheme="minorEastAsia"/>
          <w:kern w:val="0"/>
          <w:sz w:val="24"/>
          <w:szCs w:val="24"/>
        </w:rPr>
        <w:t>。</w:t>
      </w:r>
    </w:p>
    <w:p>
      <w:pPr>
        <w:widowControl/>
        <w:shd w:val="clear" w:color="auto" w:fill="FFFFFF"/>
        <w:spacing w:line="480" w:lineRule="auto"/>
        <w:jc w:val="left"/>
        <w:rPr>
          <w:rFonts w:ascii="宋体" w:hAnsi="宋体"/>
          <w:sz w:val="24"/>
          <w:szCs w:val="24"/>
        </w:rPr>
      </w:pPr>
      <w:r>
        <w:rPr>
          <w:rFonts w:hint="eastAsia" w:ascii="宋体" w:hAnsi="宋体"/>
          <w:sz w:val="24"/>
          <w:szCs w:val="24"/>
        </w:rPr>
        <w:t>4.合同履约金：成交供应商在接到《成交通知书》三个工作日内</w:t>
      </w:r>
      <w:r>
        <w:rPr>
          <w:rFonts w:hint="eastAsia" w:ascii="宋体" w:hAnsi="宋体"/>
          <w:sz w:val="24"/>
          <w:szCs w:val="24"/>
          <w:lang w:val="en-US" w:eastAsia="zh-CN"/>
        </w:rPr>
        <w:t>按合同成交总额的5%作为</w:t>
      </w:r>
      <w:r>
        <w:rPr>
          <w:rFonts w:hint="eastAsia" w:ascii="宋体" w:hAnsi="宋体"/>
          <w:sz w:val="24"/>
          <w:szCs w:val="24"/>
        </w:rPr>
        <w:t>履约保证金存入采购人账户。</w:t>
      </w:r>
    </w:p>
    <w:p>
      <w:pPr>
        <w:widowControl/>
        <w:shd w:val="clear" w:color="auto" w:fill="FFFFFF"/>
        <w:spacing w:line="480" w:lineRule="auto"/>
        <w:jc w:val="left"/>
        <w:rPr>
          <w:rFonts w:ascii="宋体" w:hAnsi="宋体"/>
          <w:sz w:val="24"/>
          <w:szCs w:val="24"/>
        </w:rPr>
      </w:pPr>
      <w:r>
        <w:rPr>
          <w:rFonts w:hint="eastAsia" w:ascii="宋体" w:hAnsi="宋体"/>
          <w:sz w:val="24"/>
          <w:szCs w:val="24"/>
        </w:rPr>
        <w:t>5.合同签订：成交供应商需分别与厦门海发环保能源股份有限公司及厦门同集热电有限公司签订购销合同</w:t>
      </w:r>
    </w:p>
    <w:p>
      <w:pPr>
        <w:widowControl/>
        <w:shd w:val="clear" w:color="auto" w:fill="FFFFFF"/>
        <w:spacing w:line="480" w:lineRule="auto"/>
        <w:jc w:val="left"/>
        <w:rPr>
          <w:rFonts w:ascii="宋体" w:hAnsi="宋体"/>
          <w:sz w:val="24"/>
          <w:szCs w:val="24"/>
        </w:rPr>
      </w:pPr>
      <w:bookmarkStart w:id="45" w:name="_Toc3940_WPSOffice_Level1"/>
      <w:bookmarkStart w:id="46" w:name="_Toc8176"/>
      <w:bookmarkStart w:id="47" w:name="_Toc15618_WPSOffice_Level1"/>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pStyle w:val="3"/>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spacing w:line="500" w:lineRule="exact"/>
        <w:rPr>
          <w:rFonts w:asciiTheme="minorEastAsia" w:hAnsiTheme="minorEastAsia"/>
          <w:szCs w:val="21"/>
        </w:rPr>
      </w:pPr>
    </w:p>
    <w:p>
      <w:pPr>
        <w:spacing w:line="500" w:lineRule="exact"/>
        <w:jc w:val="center"/>
        <w:rPr>
          <w:rFonts w:asciiTheme="minorEastAsia" w:hAnsiTheme="minorEastAsia"/>
          <w:b/>
          <w:bCs/>
          <w:sz w:val="32"/>
          <w:szCs w:val="32"/>
        </w:rPr>
      </w:pPr>
      <w:r>
        <w:rPr>
          <w:rFonts w:hint="eastAsia" w:asciiTheme="minorEastAsia" w:hAnsiTheme="minorEastAsia"/>
          <w:b/>
          <w:bCs/>
          <w:sz w:val="32"/>
          <w:szCs w:val="32"/>
        </w:rPr>
        <w:t>盐酸购销合同（海发环能版）</w:t>
      </w:r>
    </w:p>
    <w:p>
      <w:pPr>
        <w:spacing w:line="500" w:lineRule="exact"/>
        <w:rPr>
          <w:rFonts w:asciiTheme="minorEastAsia" w:hAnsiTheme="minorEastAsia"/>
          <w:szCs w:val="21"/>
        </w:rPr>
      </w:pPr>
      <w:r>
        <w:rPr>
          <w:rFonts w:hint="eastAsia" w:asciiTheme="minorEastAsia" w:hAnsiTheme="minorEastAsia"/>
          <w:szCs w:val="21"/>
        </w:rPr>
        <w:t xml:space="preserve">需方：厦门海发环保能源股份有限公司       </w:t>
      </w:r>
      <w:r>
        <w:rPr>
          <w:rFonts w:asciiTheme="minorEastAsia" w:hAnsiTheme="minorEastAsia"/>
          <w:szCs w:val="21"/>
        </w:rPr>
        <w:t xml:space="preserve">               </w:t>
      </w:r>
      <w:r>
        <w:rPr>
          <w:rFonts w:hint="eastAsia" w:asciiTheme="minorEastAsia" w:hAnsiTheme="minorEastAsia"/>
          <w:szCs w:val="21"/>
        </w:rPr>
        <w:t>合同编号:</w:t>
      </w:r>
    </w:p>
    <w:p>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pPr>
        <w:spacing w:line="500" w:lineRule="exact"/>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签订地点：厦门海沧</w:t>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p>
    <w:p>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jc w:val="center"/>
        </w:trPr>
        <w:tc>
          <w:tcPr>
            <w:tcW w:w="479" w:type="dxa"/>
            <w:vAlign w:val="center"/>
          </w:tcPr>
          <w:p>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pPr>
              <w:spacing w:line="276" w:lineRule="auto"/>
              <w:jc w:val="center"/>
              <w:rPr>
                <w:rFonts w:asciiTheme="minorEastAsia" w:hAnsiTheme="minorEastAsia"/>
                <w:szCs w:val="21"/>
              </w:rPr>
            </w:pPr>
            <w:r>
              <w:rPr>
                <w:rFonts w:hint="eastAsia" w:asciiTheme="minorEastAsia" w:hAnsiTheme="minor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479" w:type="dxa"/>
            <w:vAlign w:val="center"/>
          </w:tcPr>
          <w:p>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pPr>
              <w:spacing w:line="276" w:lineRule="auto"/>
              <w:jc w:val="center"/>
              <w:rPr>
                <w:rFonts w:asciiTheme="minorEastAsia" w:hAnsiTheme="minorEastAsia"/>
                <w:szCs w:val="21"/>
              </w:rPr>
            </w:pPr>
            <w:r>
              <w:rPr>
                <w:rFonts w:hint="eastAsia" w:cs="Times New Roman" w:asciiTheme="minorEastAsia" w:hAnsiTheme="minorEastAsia"/>
                <w:color w:val="FF0000"/>
                <w:kern w:val="0"/>
                <w:szCs w:val="21"/>
              </w:rPr>
              <w:t>高纯酸浓度</w:t>
            </w:r>
            <w:r>
              <w:rPr>
                <w:rFonts w:hint="eastAsia" w:asciiTheme="minorEastAsia" w:hAnsiTheme="minorEastAsia"/>
                <w:color w:val="FF0000"/>
                <w:szCs w:val="21"/>
              </w:rPr>
              <w:t>≥31%（</w:t>
            </w:r>
            <w:r>
              <w:rPr>
                <w:rFonts w:hint="eastAsia" w:asciiTheme="minorEastAsia" w:hAnsiTheme="minorEastAsia"/>
                <w:color w:val="FF0000"/>
                <w:szCs w:val="21"/>
                <w:lang w:val="en-US" w:eastAsia="zh-CN"/>
              </w:rPr>
              <w:t>透明色</w:t>
            </w:r>
            <w:r>
              <w:rPr>
                <w:rFonts w:hint="eastAsia" w:asciiTheme="minorEastAsia" w:hAnsiTheme="minorEastAsia"/>
                <w:color w:val="FF0000"/>
                <w:szCs w:val="21"/>
              </w:rPr>
              <w:t>）</w:t>
            </w:r>
          </w:p>
        </w:tc>
        <w:tc>
          <w:tcPr>
            <w:tcW w:w="1134" w:type="dxa"/>
            <w:vAlign w:val="center"/>
          </w:tcPr>
          <w:p>
            <w:pPr>
              <w:spacing w:line="276" w:lineRule="auto"/>
              <w:jc w:val="center"/>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lang w:val="en-US" w:eastAsia="zh-CN"/>
              </w:rPr>
              <w:t>2</w:t>
            </w:r>
            <w:r>
              <w:rPr>
                <w:rFonts w:hint="eastAsia" w:asciiTheme="minorEastAsia" w:hAnsiTheme="minorEastAsia"/>
                <w:szCs w:val="21"/>
              </w:rPr>
              <w:t>0</w:t>
            </w:r>
          </w:p>
        </w:tc>
        <w:tc>
          <w:tcPr>
            <w:tcW w:w="1276" w:type="dxa"/>
            <w:vAlign w:val="center"/>
          </w:tcPr>
          <w:p>
            <w:pPr>
              <w:spacing w:line="276" w:lineRule="auto"/>
              <w:jc w:val="center"/>
              <w:rPr>
                <w:rFonts w:asciiTheme="minorEastAsia" w:hAnsiTheme="minorEastAsia"/>
                <w:szCs w:val="21"/>
              </w:rPr>
            </w:pP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 按批次结算。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ind w:firstLine="315" w:firstLineChars="150"/>
              <w:jc w:val="left"/>
              <w:rPr>
                <w:rFonts w:asciiTheme="minorEastAsia" w:hAnsiTheme="minorEastAsia"/>
                <w:szCs w:val="21"/>
              </w:rPr>
            </w:pPr>
            <w:r>
              <w:rPr>
                <w:rFonts w:hint="eastAsia" w:asciiTheme="minorEastAsia" w:hAnsiTheme="minorEastAsia"/>
                <w:color w:val="FF0000"/>
                <w:szCs w:val="21"/>
              </w:rPr>
              <w:t>含13%税</w:t>
            </w:r>
            <w:r>
              <w:rPr>
                <w:rFonts w:asciiTheme="minorEastAsia" w:hAnsiTheme="minorEastAsia"/>
                <w:color w:val="FF0000"/>
                <w:szCs w:val="21"/>
              </w:rPr>
              <w:t>价</w:t>
            </w:r>
          </w:p>
        </w:tc>
      </w:tr>
    </w:tbl>
    <w:p>
      <w:pPr>
        <w:spacing w:line="520" w:lineRule="exact"/>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w:t>
      </w:r>
      <w:r>
        <w:rPr>
          <w:rFonts w:hint="eastAsia" w:asciiTheme="minorEastAsia" w:hAnsiTheme="minorEastAsia"/>
          <w:b/>
          <w:bCs/>
          <w:szCs w:val="21"/>
        </w:rPr>
        <w:t>：</w:t>
      </w:r>
      <w:r>
        <w:rPr>
          <w:rFonts w:hint="eastAsia" w:asciiTheme="minorEastAsia" w:hAnsiTheme="minorEastAsia"/>
          <w:color w:val="FF0000"/>
          <w:szCs w:val="21"/>
          <w:shd w:val="clear" w:color="auto" w:fill="FFFFFF"/>
        </w:rPr>
        <w:t>HG/T2778-2020高纯</w:t>
      </w:r>
      <w:r>
        <w:rPr>
          <w:rFonts w:hint="eastAsia" w:asciiTheme="minorEastAsia" w:hAnsiTheme="minorEastAsia"/>
          <w:color w:val="333333"/>
          <w:szCs w:val="21"/>
          <w:shd w:val="clear" w:color="auto" w:fill="FFFFFF"/>
        </w:rPr>
        <w:t>盐酸行业标准。</w:t>
      </w:r>
    </w:p>
    <w:p>
      <w:pPr>
        <w:spacing w:line="520" w:lineRule="exact"/>
        <w:rPr>
          <w:rFonts w:asciiTheme="minorEastAsia" w:hAnsiTheme="minorEastAsia"/>
          <w:szCs w:val="21"/>
        </w:rPr>
      </w:pPr>
      <w:r>
        <w:rPr>
          <w:rFonts w:hint="eastAsia" w:asciiTheme="minorEastAsia" w:hAnsiTheme="minorEastAsia"/>
          <w:szCs w:val="21"/>
        </w:rPr>
        <w:t>三、供方须向需方提供完整的相应证书。需方需持有当地公安机关办理的第三类易制毒购买（盐酸）备案证明原件，方能买卖，供方须向需方提供危险化学品运营资质、危险化学品运输许可证（或委托运输单位合同）、运输从业人员证书等相应资料。</w:t>
      </w:r>
    </w:p>
    <w:p>
      <w:pPr>
        <w:spacing w:line="520" w:lineRule="exact"/>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pPr>
        <w:spacing w:line="520" w:lineRule="exact"/>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pPr>
        <w:spacing w:line="520" w:lineRule="exact"/>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pPr>
        <w:spacing w:line="540" w:lineRule="exact"/>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pPr>
        <w:spacing w:line="540" w:lineRule="exac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pPr>
        <w:spacing w:line="540" w:lineRule="exact"/>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2" w:type="dxa"/>
            <w:vAlign w:val="center"/>
          </w:tcPr>
          <w:p>
            <w:pPr>
              <w:spacing w:line="5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检验质量（</w:t>
            </w:r>
            <w:r>
              <w:rPr>
                <w:rFonts w:eastAsia="宋体" w:cs="Times New Roman" w:asciiTheme="minorEastAsia" w:hAnsiTheme="minorEastAsia"/>
                <w:kern w:val="0"/>
                <w:szCs w:val="21"/>
              </w:rPr>
              <w:t>浓度）</w:t>
            </w:r>
          </w:p>
        </w:tc>
        <w:tc>
          <w:tcPr>
            <w:tcW w:w="4536" w:type="dxa"/>
            <w:vAlign w:val="center"/>
          </w:tcPr>
          <w:p>
            <w:pPr>
              <w:spacing w:line="540" w:lineRule="exact"/>
              <w:ind w:firstLine="420" w:firstLineChars="20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结算</w:t>
            </w:r>
            <w:r>
              <w:rPr>
                <w:rFonts w:eastAsia="宋体" w:cs="Times New Roman" w:asciiTheme="minorEastAsia" w:hAnsiTheme="minorEastAsia"/>
                <w:kern w:val="0"/>
                <w:szCs w:val="21"/>
              </w:rPr>
              <w:t>价</w:t>
            </w:r>
          </w:p>
        </w:tc>
        <w:tc>
          <w:tcPr>
            <w:tcW w:w="1134" w:type="dxa"/>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31%</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w:t>
            </w:r>
            <w:r>
              <w:rPr>
                <w:rFonts w:eastAsia="宋体" w:cs="Times New Roman" w:asciiTheme="minorEastAsia" w:hAnsiTheme="minorEastAsia"/>
                <w:kern w:val="0"/>
                <w:szCs w:val="21"/>
              </w:rPr>
              <w:t>合同价</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31%</w:t>
            </w: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该批次金额的10%</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浓度</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28%</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该批次金额的2</w:t>
            </w:r>
            <w:r>
              <w:rPr>
                <w:rFonts w:hint="eastAsia" w:eastAsia="宋体" w:cs="Times New Roman" w:asciiTheme="minorEastAsia" w:hAnsiTheme="minorEastAsia"/>
                <w:kern w:val="0"/>
                <w:szCs w:val="21"/>
              </w:rPr>
              <w:t>0</w:t>
            </w:r>
            <w:r>
              <w:rPr>
                <w:rFonts w:eastAsia="宋体" w:cs="Times New Roman" w:asciiTheme="minorEastAsia" w:hAnsiTheme="minorEastAsia"/>
                <w:kern w:val="0"/>
                <w:szCs w:val="21"/>
              </w:rPr>
              <w:t>%</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浓度＜28</w:t>
            </w:r>
            <w:r>
              <w:rPr>
                <w:rFonts w:eastAsia="宋体" w:cs="Times New Roman" w:asciiTheme="minorEastAsia" w:hAnsiTheme="minorEastAsia"/>
                <w:kern w:val="0"/>
                <w:szCs w:val="21"/>
              </w:rPr>
              <w:t>%</w:t>
            </w:r>
          </w:p>
        </w:tc>
        <w:tc>
          <w:tcPr>
            <w:tcW w:w="4536" w:type="dxa"/>
            <w:vAlign w:val="center"/>
          </w:tcPr>
          <w:p>
            <w:pPr>
              <w:spacing w:line="276" w:lineRule="auto"/>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需方将无偿使用该批次产品或有权要求供方退换该批次全部产品，因此造成的损失由供方负责。</w:t>
            </w:r>
          </w:p>
        </w:tc>
        <w:tc>
          <w:tcPr>
            <w:tcW w:w="1134" w:type="dxa"/>
          </w:tcPr>
          <w:p>
            <w:pPr>
              <w:spacing w:line="276" w:lineRule="auto"/>
              <w:ind w:firstLine="400" w:firstLineChars="200"/>
              <w:rPr>
                <w:rFonts w:eastAsia="宋体" w:cs="Times New Roman" w:asciiTheme="minorEastAsia" w:hAnsiTheme="minorEastAsia"/>
                <w:kern w:val="0"/>
                <w:sz w:val="20"/>
                <w:szCs w:val="21"/>
              </w:rPr>
            </w:pPr>
          </w:p>
        </w:tc>
      </w:tr>
    </w:tbl>
    <w:p>
      <w:pPr>
        <w:spacing w:line="520" w:lineRule="exact"/>
        <w:rPr>
          <w:rFonts w:asciiTheme="minorEastAsia" w:hAnsiTheme="minorEastAsia"/>
          <w:szCs w:val="21"/>
        </w:rPr>
      </w:pPr>
      <w:r>
        <w:rPr>
          <w:rFonts w:hint="eastAsia" w:asciiTheme="minorEastAsia" w:hAnsiTheme="minorEastAsia"/>
          <w:szCs w:val="21"/>
        </w:rPr>
        <w:t>六、合同履约金、质保期：</w:t>
      </w:r>
    </w:p>
    <w:p>
      <w:pPr>
        <w:spacing w:line="520" w:lineRule="exact"/>
        <w:ind w:firstLine="420" w:firstLineChars="200"/>
        <w:rPr>
          <w:rFonts w:asciiTheme="minorEastAsia" w:hAnsiTheme="minorEastAsia"/>
          <w:color w:val="FF0000"/>
          <w:szCs w:val="21"/>
        </w:rPr>
      </w:pPr>
      <w:r>
        <w:rPr>
          <w:rFonts w:hint="eastAsia" w:asciiTheme="minorEastAsia" w:hAnsiTheme="minorEastAsia"/>
          <w:color w:val="FF0000"/>
          <w:szCs w:val="21"/>
        </w:rPr>
        <w:t>1、供方在收到成交通知书后三个工作日内向需方账户缴存</w:t>
      </w:r>
      <w:r>
        <w:rPr>
          <w:rFonts w:hint="eastAsia" w:asciiTheme="minorEastAsia" w:hAnsiTheme="minorEastAsia"/>
          <w:color w:val="FF0000"/>
          <w:szCs w:val="21"/>
          <w:lang w:val="en-US" w:eastAsia="zh-CN"/>
        </w:rPr>
        <w:t>合同总价的5%</w:t>
      </w:r>
      <w:r>
        <w:rPr>
          <w:rFonts w:hint="eastAsia" w:asciiTheme="minorEastAsia" w:hAnsiTheme="minorEastAsia"/>
          <w:color w:val="FF0000"/>
          <w:szCs w:val="21"/>
        </w:rPr>
        <w:t>作为合同履约金</w:t>
      </w:r>
      <w:r>
        <w:rPr>
          <w:rFonts w:hint="eastAsia" w:asciiTheme="minorEastAsia" w:hAnsiTheme="minorEastAsia"/>
          <w:color w:val="FF0000"/>
          <w:szCs w:val="21"/>
          <w:lang w:eastAsia="zh-CN"/>
        </w:rPr>
        <w:t>。</w:t>
      </w:r>
      <w:r>
        <w:rPr>
          <w:rFonts w:hint="eastAsia" w:asciiTheme="minorEastAsia" w:hAnsiTheme="minorEastAsia"/>
          <w:color w:val="FF0000"/>
          <w:szCs w:val="21"/>
        </w:rPr>
        <w:t>质保期至2026年</w:t>
      </w:r>
      <w:r>
        <w:rPr>
          <w:rFonts w:hint="eastAsia" w:asciiTheme="minorEastAsia" w:hAnsiTheme="minorEastAsia"/>
          <w:color w:val="FF0000"/>
          <w:szCs w:val="21"/>
          <w:lang w:val="en-US" w:eastAsia="zh-CN"/>
        </w:rPr>
        <w:t>7</w:t>
      </w:r>
      <w:r>
        <w:rPr>
          <w:rFonts w:hint="eastAsia" w:asciiTheme="minorEastAsia" w:hAnsiTheme="minorEastAsia"/>
          <w:color w:val="FF0000"/>
          <w:szCs w:val="21"/>
        </w:rPr>
        <w:t>月10日。</w:t>
      </w:r>
    </w:p>
    <w:p>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520" w:lineRule="exact"/>
        <w:rPr>
          <w:rFonts w:asciiTheme="minorEastAsia" w:hAnsiTheme="minorEastAsia"/>
          <w:bCs/>
          <w:szCs w:val="21"/>
        </w:rPr>
      </w:pPr>
      <w:r>
        <w:rPr>
          <w:rFonts w:hint="eastAsia" w:asciiTheme="minorEastAsia" w:hAnsiTheme="minorEastAsia"/>
          <w:bCs/>
          <w:szCs w:val="21"/>
        </w:rPr>
        <w:t>七、结算方式、时间、地点：</w:t>
      </w:r>
    </w:p>
    <w:p>
      <w:pPr>
        <w:spacing w:line="520" w:lineRule="exact"/>
        <w:ind w:firstLine="420" w:firstLineChars="200"/>
        <w:rPr>
          <w:rFonts w:asciiTheme="minorEastAsia" w:hAnsiTheme="minorEastAsia"/>
          <w:szCs w:val="21"/>
        </w:rPr>
      </w:pPr>
      <w:r>
        <w:rPr>
          <w:rFonts w:hint="eastAsia" w:asciiTheme="minorEastAsia" w:hAnsiTheme="minorEastAsia"/>
          <w:szCs w:val="21"/>
        </w:rPr>
        <w:t>1、货到付款，</w:t>
      </w:r>
      <w:bookmarkStart w:id="48" w:name="OLE_LINK1"/>
      <w:bookmarkStart w:id="49" w:name="OLE_LINK2"/>
      <w:r>
        <w:rPr>
          <w:rFonts w:hint="eastAsia" w:asciiTheme="minorEastAsia" w:hAnsiTheme="minorEastAsia"/>
          <w:szCs w:val="21"/>
        </w:rPr>
        <w:t>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 xml:space="preserve">  13%</w:t>
      </w:r>
      <w:r>
        <w:rPr>
          <w:rFonts w:asciiTheme="minorEastAsia" w:hAnsiTheme="minorEastAsia"/>
          <w:szCs w:val="21"/>
          <w:u w:val="single"/>
        </w:rPr>
        <w:t xml:space="preserve"> </w:t>
      </w:r>
      <w:r>
        <w:rPr>
          <w:rFonts w:hint="eastAsia" w:asciiTheme="minorEastAsia" w:hAnsiTheme="minorEastAsia"/>
          <w:szCs w:val="21"/>
        </w:rPr>
        <w:t>增值税全额专用发票给需方，供方开具电子发票时，备注栏需备注供方银行账号和开户行等信息，并发送需方要求的版本电子档给需方存档，需方在书面核实无误后并在收到发票15个工作日内支付相应款项。</w:t>
      </w:r>
    </w:p>
    <w:p>
      <w:pPr>
        <w:spacing w:line="520" w:lineRule="exact"/>
        <w:ind w:firstLine="420" w:firstLineChars="200"/>
        <w:rPr>
          <w:rFonts w:asciiTheme="minorEastAsia" w:hAnsiTheme="minorEastAsia"/>
          <w:szCs w:val="21"/>
        </w:rPr>
      </w:pPr>
      <w:r>
        <w:rPr>
          <w:rFonts w:hint="eastAsia" w:asciiTheme="minorEastAsia" w:hAnsiTheme="minorEastAsia"/>
          <w:szCs w:val="21"/>
        </w:rPr>
        <w:t>2、若在合同期内增值税率发生调整，含税单价需做相应调整。</w:t>
      </w:r>
      <w:bookmarkEnd w:id="48"/>
      <w:bookmarkEnd w:id="49"/>
    </w:p>
    <w:p>
      <w:pPr>
        <w:spacing w:line="520" w:lineRule="exact"/>
        <w:ind w:firstLine="420" w:firstLineChars="200"/>
        <w:rPr>
          <w:rFonts w:asciiTheme="minorEastAsia" w:hAnsiTheme="minorEastAsia"/>
          <w:szCs w:val="21"/>
        </w:rPr>
      </w:pPr>
      <w:r>
        <w:rPr>
          <w:rFonts w:hint="eastAsia" w:ascii="宋体" w:hAnsi="宋体"/>
          <w:szCs w:val="21"/>
        </w:rPr>
        <w:t>3、在合同期内供货数量以实际供应量结算，总数量不得超过合同签订数量2</w:t>
      </w:r>
      <w:r>
        <w:rPr>
          <w:rFonts w:hint="eastAsia" w:ascii="宋体" w:hAnsi="宋体"/>
          <w:szCs w:val="21"/>
          <w:lang w:val="en-US" w:eastAsia="zh-CN"/>
        </w:rPr>
        <w:t>2</w:t>
      </w:r>
      <w:r>
        <w:rPr>
          <w:rFonts w:hint="eastAsia" w:ascii="宋体" w:hAnsi="宋体"/>
          <w:szCs w:val="21"/>
        </w:rPr>
        <w:t>0吨。</w:t>
      </w:r>
    </w:p>
    <w:p>
      <w:pPr>
        <w:pStyle w:val="11"/>
        <w:rPr>
          <w:rFonts w:asciiTheme="minorEastAsia" w:hAnsiTheme="minorEastAsia"/>
          <w:bCs/>
          <w:szCs w:val="21"/>
        </w:rPr>
      </w:pPr>
      <w:r>
        <w:rPr>
          <w:rFonts w:hint="eastAsia" w:asciiTheme="minorEastAsia" w:hAnsiTheme="minorEastAsia"/>
          <w:szCs w:val="21"/>
        </w:rPr>
        <w:t>八、</w:t>
      </w:r>
      <w:r>
        <w:rPr>
          <w:rFonts w:hint="eastAsia" w:asciiTheme="minorEastAsia" w:hAnsiTheme="minorEastAsia"/>
          <w:bCs/>
          <w:szCs w:val="21"/>
        </w:rPr>
        <w:t>违约责任：</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pPr>
        <w:spacing w:line="520" w:lineRule="exact"/>
        <w:rPr>
          <w:rFonts w:ascii="宋体" w:hAnsi="宋体"/>
          <w:szCs w:val="21"/>
        </w:rPr>
      </w:pPr>
      <w:r>
        <w:rPr>
          <w:rFonts w:hint="eastAsia" w:ascii="宋体" w:hAnsi="宋体"/>
          <w:szCs w:val="21"/>
        </w:rPr>
        <w:t>九、厂区道路运输及装卸安全</w:t>
      </w:r>
    </w:p>
    <w:p>
      <w:pPr>
        <w:spacing w:line="520" w:lineRule="exact"/>
        <w:ind w:firstLine="420" w:firstLineChars="200"/>
        <w:rPr>
          <w:rFonts w:ascii="宋体" w:hAnsi="宋体"/>
          <w:szCs w:val="21"/>
        </w:rPr>
      </w:pPr>
      <w:r>
        <w:rPr>
          <w:rFonts w:hint="eastAsia" w:ascii="宋体" w:hAnsi="宋体"/>
          <w:szCs w:val="21"/>
        </w:rPr>
        <w:t>根据《危险化学品道路运输管理办法》第九、十、十一、十二、十三、十四、十五条的规定：</w:t>
      </w:r>
    </w:p>
    <w:p>
      <w:pPr>
        <w:spacing w:line="520" w:lineRule="exact"/>
        <w:ind w:firstLine="420" w:firstLineChars="200"/>
        <w:rPr>
          <w:rFonts w:ascii="宋体" w:hAnsi="宋体"/>
          <w:szCs w:val="21"/>
        </w:rPr>
      </w:pPr>
      <w:r>
        <w:rPr>
          <w:rFonts w:hint="eastAsia" w:ascii="宋体" w:hAnsi="宋体"/>
          <w:szCs w:val="21"/>
        </w:rPr>
        <w:t>1、危险化学品道路运输企业应取得道路运输管理机构颁发的危险货物道路运输许可，并向工商行政管理部门办理登记手续。</w:t>
      </w:r>
    </w:p>
    <w:p>
      <w:pPr>
        <w:spacing w:line="520" w:lineRule="exact"/>
        <w:ind w:firstLine="420" w:firstLineChars="200"/>
        <w:rPr>
          <w:rFonts w:ascii="宋体" w:hAnsi="宋体"/>
          <w:szCs w:val="21"/>
        </w:rPr>
      </w:pPr>
      <w:r>
        <w:rPr>
          <w:rFonts w:hint="eastAsia" w:ascii="宋体" w:hAnsi="宋体"/>
          <w:szCs w:val="21"/>
        </w:rPr>
        <w:t>2、危险化学品运输车辆应当依法取得道路运输管理机构颁发的《道路运输证》，并在经营范围内注明危险化学品类别、品名，且运输车辆应满足国家相关规范要求，并定期做好维护、保养工作。</w:t>
      </w:r>
    </w:p>
    <w:p>
      <w:pPr>
        <w:spacing w:line="520" w:lineRule="exact"/>
        <w:ind w:firstLine="420" w:firstLineChars="200"/>
        <w:rPr>
          <w:rFonts w:ascii="宋体" w:hAnsi="宋体"/>
          <w:szCs w:val="21"/>
        </w:rPr>
      </w:pPr>
      <w:r>
        <w:rPr>
          <w:rFonts w:hint="eastAsia" w:ascii="宋体" w:hAnsi="宋体"/>
          <w:szCs w:val="21"/>
        </w:rPr>
        <w:t>3、车辆驾驶人员应取得相应车辆驾驶证，并经考试取得从业资格证；押运员也应取得从业资格证；同时驾驶人员、押运人员应熟悉危险化学品的特性及应急处置方法。</w:t>
      </w:r>
    </w:p>
    <w:p>
      <w:pPr>
        <w:spacing w:line="520" w:lineRule="exact"/>
        <w:ind w:firstLine="420" w:firstLineChars="200"/>
        <w:rPr>
          <w:rFonts w:ascii="宋体" w:hAnsi="宋体"/>
          <w:szCs w:val="21"/>
        </w:rPr>
      </w:pPr>
      <w:r>
        <w:rPr>
          <w:rFonts w:hint="eastAsia" w:ascii="宋体" w:hAnsi="宋体"/>
          <w:szCs w:val="21"/>
        </w:rPr>
        <w:t>4、危险化学品道路运输时应按规定配备充足、合格的驾驶人员及押运人员。</w:t>
      </w:r>
    </w:p>
    <w:p>
      <w:pPr>
        <w:spacing w:line="360" w:lineRule="auto"/>
        <w:ind w:firstLine="420" w:firstLineChars="200"/>
        <w:rPr>
          <w:rFonts w:ascii="宋体" w:hAnsi="宋体"/>
          <w:szCs w:val="21"/>
        </w:rPr>
      </w:pPr>
      <w:r>
        <w:rPr>
          <w:rFonts w:hint="eastAsia" w:ascii="宋体" w:hAnsi="宋体"/>
          <w:szCs w:val="21"/>
        </w:rPr>
        <w:t>5、危险化学品的道路运输企业应落实主体责任，加强运输车辆及设施、设备的维护、管理，及时排查并消除安全隐患。</w:t>
      </w:r>
    </w:p>
    <w:p>
      <w:pPr>
        <w:spacing w:line="360" w:lineRule="auto"/>
        <w:ind w:firstLine="0" w:firstLineChars="0"/>
        <w:jc w:val="left"/>
        <w:rPr>
          <w:rFonts w:ascii="宋体" w:hAnsi="宋体"/>
          <w:color w:val="FF0000"/>
          <w:szCs w:val="21"/>
        </w:rPr>
      </w:pPr>
      <w:r>
        <w:rPr>
          <w:rFonts w:ascii="宋体" w:hAnsi="宋体"/>
          <w:szCs w:val="21"/>
        </w:rPr>
        <w:t>十、</w:t>
      </w:r>
      <w:r>
        <w:rPr>
          <w:rFonts w:hint="eastAsia" w:ascii="宋体" w:hAnsi="宋体"/>
          <w:szCs w:val="21"/>
        </w:rPr>
        <w:t>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w:t>
      </w:r>
      <w:r>
        <w:rPr>
          <w:rFonts w:hint="eastAsia" w:ascii="宋体" w:hAnsi="宋体"/>
          <w:szCs w:val="21"/>
        </w:rPr>
        <w:t>如因供方人员违规操作或疏忽等原因照成等损失由供方负责赔偿，在合同期内，</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000元且需方有权单方面解除合同，扣罚款项将从当期结算货款中扣除。</w:t>
      </w:r>
    </w:p>
    <w:p>
      <w:pPr>
        <w:spacing w:line="520" w:lineRule="exact"/>
        <w:ind w:firstLine="420" w:firstLineChars="200"/>
        <w:rPr>
          <w:rFonts w:asciiTheme="minorEastAsia" w:hAnsiTheme="minorEastAsia"/>
          <w:szCs w:val="21"/>
        </w:rPr>
      </w:pP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spacing w:line="520" w:lineRule="exact"/>
        <w:rPr>
          <w:rFonts w:ascii="宋体" w:hAnsi="宋体"/>
          <w:szCs w:val="21"/>
        </w:rPr>
      </w:pPr>
    </w:p>
    <w:p>
      <w:pPr>
        <w:spacing w:line="520" w:lineRule="exact"/>
        <w:rPr>
          <w:rStyle w:val="34"/>
          <w:rFonts w:ascii="宋体" w:hAnsi="宋体"/>
          <w:b w:val="0"/>
          <w:sz w:val="21"/>
          <w:szCs w:val="21"/>
        </w:rPr>
      </w:pPr>
      <w:r>
        <w:rPr>
          <w:rFonts w:hint="eastAsia" w:ascii="宋体" w:hAnsi="宋体"/>
          <w:szCs w:val="21"/>
        </w:rPr>
        <w:t>十一</w:t>
      </w:r>
      <w:r>
        <w:rPr>
          <w:rFonts w:ascii="宋体" w:hAnsi="宋体"/>
          <w:szCs w:val="21"/>
        </w:rPr>
        <w:t>、</w:t>
      </w:r>
      <w:r>
        <w:rPr>
          <w:rFonts w:hint="eastAsia" w:ascii="宋体" w:hAnsi="宋体"/>
          <w:bCs/>
          <w:szCs w:val="21"/>
        </w:rPr>
        <w:t>合同争议的解决方式：</w:t>
      </w:r>
      <w:r>
        <w:rPr>
          <w:rFonts w:hint="eastAsia" w:ascii="宋体" w:hAnsi="宋体"/>
          <w:szCs w:val="21"/>
        </w:rPr>
        <w:t>本合同在履行过程中发生的争议，由双方当事人协商解决，协商、调解不成的，</w:t>
      </w:r>
      <w:r>
        <w:rPr>
          <w:rStyle w:val="34"/>
          <w:rFonts w:hint="eastAsia" w:ascii="宋体" w:hAnsi="宋体"/>
          <w:b w:val="0"/>
          <w:sz w:val="21"/>
          <w:szCs w:val="21"/>
        </w:rPr>
        <w:t>可依法向需方所在地有管辖权的人民法院起诉。</w:t>
      </w:r>
    </w:p>
    <w:p>
      <w:pPr>
        <w:spacing w:line="520" w:lineRule="exact"/>
        <w:rPr>
          <w:rFonts w:asciiTheme="minorEastAsia" w:hAnsiTheme="minorEastAsia"/>
          <w:bCs/>
          <w:szCs w:val="21"/>
        </w:rPr>
      </w:pPr>
      <w:r>
        <w:rPr>
          <w:rFonts w:hint="eastAsia" w:asciiTheme="minorEastAsia" w:hAnsiTheme="minorEastAsia"/>
          <w:szCs w:val="21"/>
        </w:rPr>
        <w:t xml:space="preserve"> 十二、</w:t>
      </w:r>
      <w:r>
        <w:rPr>
          <w:rFonts w:hint="eastAsia" w:asciiTheme="minorEastAsia" w:hAnsiTheme="minorEastAsia"/>
          <w:bCs/>
          <w:szCs w:val="21"/>
        </w:rPr>
        <w:t>其他：</w:t>
      </w:r>
    </w:p>
    <w:p>
      <w:pPr>
        <w:spacing w:line="52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lang w:val="en-US" w:eastAsia="zh-CN"/>
        </w:rPr>
        <w:t>6</w:t>
      </w:r>
      <w:r>
        <w:rPr>
          <w:rFonts w:hint="eastAsia" w:asciiTheme="minorEastAsia" w:hAnsiTheme="minorEastAsia"/>
          <w:color w:val="FF0000"/>
          <w:szCs w:val="21"/>
        </w:rPr>
        <w:t>年 月 日至</w:t>
      </w:r>
      <w:r>
        <w:rPr>
          <w:rFonts w:asciiTheme="minorEastAsia" w:hAnsiTheme="minorEastAsia"/>
          <w:color w:val="FF0000"/>
          <w:szCs w:val="21"/>
        </w:rPr>
        <w:t>202</w:t>
      </w:r>
      <w:r>
        <w:rPr>
          <w:rFonts w:hint="eastAsia" w:asciiTheme="minorEastAsia" w:hAnsiTheme="minorEastAsia"/>
          <w:color w:val="FF0000"/>
          <w:szCs w:val="21"/>
          <w:lang w:val="en-US" w:eastAsia="zh-CN"/>
        </w:rPr>
        <w:t>6</w:t>
      </w:r>
      <w:r>
        <w:rPr>
          <w:rFonts w:hint="eastAsia" w:asciiTheme="minorEastAsia" w:hAnsiTheme="minorEastAsia"/>
          <w:color w:val="FF0000"/>
          <w:szCs w:val="21"/>
        </w:rPr>
        <w:t>年 月 日。</w:t>
      </w:r>
    </w:p>
    <w:p>
      <w:pPr>
        <w:spacing w:line="520" w:lineRule="exact"/>
        <w:ind w:firstLine="420" w:firstLineChars="200"/>
        <w:rPr>
          <w:rFonts w:asciiTheme="minorEastAsia" w:hAnsiTheme="minorEastAsia"/>
          <w:szCs w:val="21"/>
        </w:rPr>
      </w:pPr>
      <w:r>
        <w:rPr>
          <w:rFonts w:hint="eastAsia" w:asciiTheme="minorEastAsia" w:hAnsiTheme="minorEastAsia"/>
          <w:szCs w:val="21"/>
        </w:rPr>
        <w:t>2、本合同一式三份，需方二份，供方一份，具有同等法律效力。</w:t>
      </w:r>
    </w:p>
    <w:p>
      <w:pPr>
        <w:spacing w:line="520" w:lineRule="exact"/>
        <w:ind w:firstLine="420" w:firstLineChars="200"/>
        <w:rPr>
          <w:rFonts w:asciiTheme="minorEastAsia" w:hAnsiTheme="minorEastAsia"/>
          <w:szCs w:val="21"/>
        </w:rPr>
      </w:pPr>
      <w:r>
        <w:rPr>
          <w:rFonts w:hint="eastAsia" w:asciiTheme="minorEastAsia" w:hAnsiTheme="minorEastAsia"/>
          <w:szCs w:val="21"/>
        </w:rPr>
        <w:t>3、本合同经双方加盖公章或合同专用章及法定代表人的签章（或持有法定代表人开具的授权委托书或其他有效的授权证明，授权证明为合同附件）即合同生效。</w:t>
      </w:r>
    </w:p>
    <w:p>
      <w:pPr>
        <w:spacing w:line="520" w:lineRule="exact"/>
        <w:ind w:firstLine="420" w:firstLineChars="200"/>
        <w:rPr>
          <w:rFonts w:asciiTheme="minorEastAsia" w:hAnsiTheme="minorEastAsia"/>
          <w:szCs w:val="21"/>
        </w:rPr>
      </w:pPr>
    </w:p>
    <w:p>
      <w:pPr>
        <w:spacing w:line="520" w:lineRule="exact"/>
        <w:ind w:firstLine="420" w:firstLineChars="200"/>
        <w:rPr>
          <w:rFonts w:asciiTheme="minorEastAsia" w:hAnsiTheme="minorEastAsia"/>
          <w:szCs w:val="21"/>
        </w:rPr>
      </w:pPr>
    </w:p>
    <w:tbl>
      <w:tblPr>
        <w:tblStyle w:val="18"/>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4004" w:type="dxa"/>
          </w:tcPr>
          <w:p>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地址：</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p>
          <w:p>
            <w:pPr>
              <w:spacing w:line="360" w:lineRule="auto"/>
              <w:rPr>
                <w:rFonts w:asciiTheme="minorEastAsia" w:hAnsiTheme="minorEastAsia"/>
                <w:szCs w:val="21"/>
              </w:rPr>
            </w:pPr>
            <w:r>
              <w:rPr>
                <w:rFonts w:hint="eastAsia" w:asciiTheme="minorEastAsia" w:hAnsiTheme="minorEastAsia"/>
                <w:szCs w:val="21"/>
              </w:rPr>
              <w:t>开户银行：</w:t>
            </w:r>
          </w:p>
          <w:p>
            <w:pPr>
              <w:spacing w:line="360" w:lineRule="auto"/>
              <w:rPr>
                <w:rFonts w:asciiTheme="minorEastAsia" w:hAnsiTheme="minorEastAsia"/>
                <w:szCs w:val="21"/>
              </w:rPr>
            </w:pPr>
            <w:r>
              <w:rPr>
                <w:rFonts w:hint="eastAsia" w:asciiTheme="minorEastAsia" w:hAnsiTheme="minorEastAsia"/>
                <w:szCs w:val="21"/>
              </w:rPr>
              <w:t>账号：</w:t>
            </w:r>
          </w:p>
          <w:p>
            <w:pPr>
              <w:spacing w:line="360" w:lineRule="auto"/>
              <w:rPr>
                <w:rFonts w:asciiTheme="minorEastAsia" w:hAnsiTheme="minorEastAsia"/>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pPr>
              <w:spacing w:line="360" w:lineRule="auto"/>
              <w:rPr>
                <w:rFonts w:asciiTheme="minorEastAsia" w:hAnsiTheme="minorEastAsia"/>
                <w:szCs w:val="21"/>
              </w:rPr>
            </w:pPr>
            <w:r>
              <w:rPr>
                <w:rFonts w:hint="eastAsia" w:asciiTheme="minorEastAsia" w:hAnsiTheme="minorEastAsia"/>
                <w:szCs w:val="21"/>
              </w:rPr>
              <w:t xml:space="preserve">需方：厦门海发环保能源股份有限公司   </w:t>
            </w:r>
          </w:p>
          <w:p>
            <w:pPr>
              <w:spacing w:line="360" w:lineRule="auto"/>
              <w:rPr>
                <w:rFonts w:asciiTheme="minorEastAsia" w:hAnsiTheme="minorEastAsia"/>
                <w:szCs w:val="21"/>
              </w:rPr>
            </w:pPr>
            <w:r>
              <w:rPr>
                <w:rFonts w:hint="eastAsia" w:asciiTheme="minorEastAsia" w:hAnsiTheme="minorEastAsia"/>
                <w:szCs w:val="21"/>
              </w:rPr>
              <w:t>单位地址：厦门市海沧区阳光西路288号</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 xml:space="preserve">开户银行： </w:t>
            </w:r>
          </w:p>
          <w:p>
            <w:pPr>
              <w:spacing w:line="360" w:lineRule="auto"/>
              <w:rPr>
                <w:rFonts w:asciiTheme="minorEastAsia" w:hAnsiTheme="minorEastAsia"/>
                <w:bCs/>
                <w:szCs w:val="21"/>
              </w:rPr>
            </w:pPr>
            <w:r>
              <w:rPr>
                <w:rFonts w:hint="eastAsia" w:asciiTheme="minorEastAsia" w:hAnsiTheme="minorEastAsia"/>
                <w:szCs w:val="21"/>
              </w:rPr>
              <w:t xml:space="preserve">账号 </w:t>
            </w:r>
          </w:p>
          <w:p>
            <w:pPr>
              <w:spacing w:line="360" w:lineRule="auto"/>
              <w:rPr>
                <w:rFonts w:asciiTheme="minorEastAsia" w:hAnsiTheme="minorEastAsia"/>
                <w:bCs/>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r>
    </w:tbl>
    <w:p>
      <w:pPr>
        <w:spacing w:line="276" w:lineRule="auto"/>
        <w:rPr>
          <w:rFonts w:asciiTheme="minorEastAsia" w:hAnsiTheme="minorEastAsia"/>
          <w:sz w:val="24"/>
        </w:rPr>
      </w:pPr>
    </w:p>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11"/>
        <w:rPr>
          <w:rFonts w:hAnsi="宋体" w:eastAsia="宋体"/>
          <w:bCs/>
          <w:color w:val="000000"/>
          <w:sz w:val="36"/>
          <w:szCs w:val="36"/>
        </w:rPr>
      </w:pPr>
    </w:p>
    <w:p>
      <w:pPr>
        <w:spacing w:line="500" w:lineRule="exact"/>
        <w:jc w:val="center"/>
        <w:rPr>
          <w:rFonts w:asciiTheme="minorEastAsia" w:hAnsiTheme="minorEastAsia"/>
          <w:b/>
          <w:bCs/>
          <w:sz w:val="32"/>
          <w:szCs w:val="32"/>
        </w:rPr>
      </w:pPr>
      <w:r>
        <w:rPr>
          <w:rFonts w:hint="eastAsia" w:asciiTheme="minorEastAsia" w:hAnsiTheme="minorEastAsia"/>
          <w:b/>
          <w:bCs/>
          <w:sz w:val="32"/>
          <w:szCs w:val="32"/>
        </w:rPr>
        <w:t>盐酸购销合同（同集热电版）</w:t>
      </w:r>
    </w:p>
    <w:p>
      <w:pPr>
        <w:spacing w:line="500" w:lineRule="exact"/>
        <w:rPr>
          <w:rFonts w:asciiTheme="minorEastAsia" w:hAnsiTheme="minorEastAsia"/>
          <w:szCs w:val="21"/>
        </w:rPr>
      </w:pPr>
      <w:r>
        <w:rPr>
          <w:rFonts w:hint="eastAsia" w:asciiTheme="minorEastAsia" w:hAnsiTheme="minorEastAsia"/>
          <w:szCs w:val="21"/>
        </w:rPr>
        <w:t xml:space="preserve">需方：厦门同集热电有限公司       </w:t>
      </w:r>
      <w:r>
        <w:rPr>
          <w:rFonts w:asciiTheme="minorEastAsia" w:hAnsiTheme="minorEastAsia"/>
          <w:szCs w:val="21"/>
        </w:rPr>
        <w:t xml:space="preserve">               </w:t>
      </w:r>
      <w:r>
        <w:rPr>
          <w:rFonts w:hint="eastAsia" w:asciiTheme="minorEastAsia" w:hAnsiTheme="minorEastAsia"/>
          <w:szCs w:val="21"/>
        </w:rPr>
        <w:t>合同编号:</w:t>
      </w:r>
    </w:p>
    <w:p>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pPr>
        <w:spacing w:line="500" w:lineRule="exact"/>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签订地点：厦门同安</w:t>
      </w:r>
    </w:p>
    <w:p>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9" w:type="dxa"/>
            <w:vAlign w:val="center"/>
          </w:tcPr>
          <w:p>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pPr>
              <w:spacing w:line="276" w:lineRule="auto"/>
              <w:jc w:val="center"/>
              <w:rPr>
                <w:rFonts w:asciiTheme="minorEastAsia" w:hAnsiTheme="minorEastAsia"/>
                <w:szCs w:val="21"/>
              </w:rPr>
            </w:pPr>
            <w:r>
              <w:rPr>
                <w:rFonts w:hint="eastAsia" w:asciiTheme="minorEastAsia" w:hAnsiTheme="minor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479" w:type="dxa"/>
            <w:vAlign w:val="center"/>
          </w:tcPr>
          <w:p>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pPr>
              <w:spacing w:line="276" w:lineRule="auto"/>
              <w:jc w:val="center"/>
              <w:rPr>
                <w:rFonts w:asciiTheme="minorEastAsia" w:hAnsiTheme="minorEastAsia"/>
                <w:szCs w:val="21"/>
              </w:rPr>
            </w:pPr>
            <w:r>
              <w:rPr>
                <w:rFonts w:hint="eastAsia" w:cs="Times New Roman" w:asciiTheme="minorEastAsia" w:hAnsiTheme="minorEastAsia"/>
                <w:color w:val="FF0000"/>
                <w:kern w:val="0"/>
                <w:szCs w:val="21"/>
              </w:rPr>
              <w:t>高纯酸浓度</w:t>
            </w:r>
            <w:r>
              <w:rPr>
                <w:rFonts w:hint="eastAsia" w:asciiTheme="minorEastAsia" w:hAnsiTheme="minorEastAsia"/>
                <w:color w:val="FF0000"/>
                <w:szCs w:val="21"/>
              </w:rPr>
              <w:t>≥31%（</w:t>
            </w:r>
            <w:r>
              <w:rPr>
                <w:rFonts w:hint="eastAsia" w:asciiTheme="minorEastAsia" w:hAnsiTheme="minorEastAsia"/>
                <w:color w:val="FF0000"/>
                <w:szCs w:val="21"/>
                <w:lang w:val="en-US" w:eastAsia="zh-CN"/>
              </w:rPr>
              <w:t>透明色</w:t>
            </w:r>
            <w:r>
              <w:rPr>
                <w:rFonts w:hint="eastAsia" w:asciiTheme="minorEastAsia" w:hAnsiTheme="minorEastAsia"/>
                <w:color w:val="FF0000"/>
                <w:szCs w:val="21"/>
              </w:rPr>
              <w:t>）</w:t>
            </w:r>
          </w:p>
        </w:tc>
        <w:tc>
          <w:tcPr>
            <w:tcW w:w="1134" w:type="dxa"/>
            <w:vAlign w:val="center"/>
          </w:tcPr>
          <w:p>
            <w:pPr>
              <w:spacing w:line="276" w:lineRule="auto"/>
              <w:jc w:val="center"/>
              <w:rPr>
                <w:rFonts w:asciiTheme="minorEastAsia" w:hAnsiTheme="minorEastAsia"/>
                <w:szCs w:val="21"/>
              </w:rPr>
            </w:pPr>
            <w:r>
              <w:rPr>
                <w:rFonts w:hint="eastAsia" w:asciiTheme="minorEastAsia" w:hAnsiTheme="minorEastAsia"/>
                <w:szCs w:val="21"/>
              </w:rPr>
              <w:t>80</w:t>
            </w:r>
          </w:p>
        </w:tc>
        <w:tc>
          <w:tcPr>
            <w:tcW w:w="1276" w:type="dxa"/>
            <w:vAlign w:val="center"/>
          </w:tcPr>
          <w:p>
            <w:pPr>
              <w:spacing w:line="276" w:lineRule="auto"/>
              <w:jc w:val="center"/>
              <w:rPr>
                <w:rFonts w:asciiTheme="minorEastAsia" w:hAnsiTheme="minorEastAsia"/>
                <w:szCs w:val="21"/>
              </w:rPr>
            </w:pP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 按批次结算</w:t>
            </w:r>
            <w:r>
              <w:rPr>
                <w:rFonts w:hint="eastAsia" w:asciiTheme="minorEastAsia" w:hAnsiTheme="minorEastAsia"/>
                <w:color w:val="FF0000"/>
                <w:szCs w:val="21"/>
              </w:rPr>
              <w:t>（约12吨/车）</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ind w:firstLine="315" w:firstLineChars="150"/>
              <w:jc w:val="left"/>
              <w:rPr>
                <w:rFonts w:asciiTheme="minorEastAsia" w:hAnsiTheme="minorEastAsia"/>
                <w:szCs w:val="21"/>
              </w:rPr>
            </w:pPr>
            <w:r>
              <w:rPr>
                <w:rFonts w:hint="eastAsia" w:asciiTheme="minorEastAsia" w:hAnsiTheme="minorEastAsia"/>
                <w:color w:val="FF0000"/>
                <w:szCs w:val="21"/>
              </w:rPr>
              <w:t>含13%税</w:t>
            </w:r>
            <w:r>
              <w:rPr>
                <w:rFonts w:asciiTheme="minorEastAsia" w:hAnsiTheme="minorEastAsia"/>
                <w:color w:val="FF0000"/>
                <w:szCs w:val="21"/>
              </w:rPr>
              <w:t>价</w:t>
            </w:r>
          </w:p>
        </w:tc>
      </w:tr>
    </w:tbl>
    <w:p>
      <w:pPr>
        <w:spacing w:line="520" w:lineRule="exact"/>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w:t>
      </w:r>
      <w:r>
        <w:rPr>
          <w:rFonts w:hint="eastAsia" w:asciiTheme="minorEastAsia" w:hAnsiTheme="minorEastAsia"/>
          <w:b/>
          <w:bCs/>
          <w:szCs w:val="21"/>
        </w:rPr>
        <w:t>：</w:t>
      </w:r>
      <w:r>
        <w:rPr>
          <w:rFonts w:hint="eastAsia" w:asciiTheme="minorEastAsia" w:hAnsiTheme="minorEastAsia"/>
          <w:color w:val="FF0000"/>
          <w:szCs w:val="21"/>
          <w:shd w:val="clear" w:color="auto" w:fill="FFFFFF"/>
        </w:rPr>
        <w:t>HG/T2778-2020高纯</w:t>
      </w:r>
      <w:r>
        <w:rPr>
          <w:rFonts w:hint="eastAsia" w:asciiTheme="minorEastAsia" w:hAnsiTheme="minorEastAsia"/>
          <w:color w:val="333333"/>
          <w:szCs w:val="21"/>
          <w:shd w:val="clear" w:color="auto" w:fill="FFFFFF"/>
        </w:rPr>
        <w:t>盐酸行业标准。</w:t>
      </w:r>
    </w:p>
    <w:p>
      <w:pPr>
        <w:spacing w:line="520" w:lineRule="exact"/>
        <w:ind w:firstLine="420" w:firstLineChars="200"/>
        <w:rPr>
          <w:rFonts w:asciiTheme="minorEastAsia" w:hAnsiTheme="minorEastAsia"/>
          <w:szCs w:val="21"/>
        </w:rPr>
      </w:pPr>
      <w:r>
        <w:rPr>
          <w:rFonts w:hint="eastAsia" w:asciiTheme="minorEastAsia" w:hAnsiTheme="minorEastAsia"/>
          <w:szCs w:val="21"/>
        </w:rPr>
        <w:t>三、供方须向需方提供完整的相应证书。需方需持有当地公安机关办理的第三类易制毒购买（盐酸）备案证明原件，方能买卖，供方须向需方提供危险化学品运营资质、危险化学品运输许可证（或委托运输单位合同）、运输从业人员证书等相应资料。</w:t>
      </w:r>
    </w:p>
    <w:p>
      <w:pPr>
        <w:spacing w:line="520" w:lineRule="exact"/>
        <w:ind w:firstLine="420" w:firstLineChars="200"/>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pPr>
        <w:spacing w:line="520" w:lineRule="exact"/>
        <w:ind w:firstLine="420" w:firstLineChars="200"/>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pPr>
        <w:spacing w:line="540" w:lineRule="exact"/>
        <w:ind w:firstLine="420" w:firstLineChars="200"/>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pPr>
        <w:spacing w:line="540" w:lineRule="exact"/>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pPr>
        <w:spacing w:line="540" w:lineRule="exact"/>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2" w:type="dxa"/>
            <w:vAlign w:val="center"/>
          </w:tcPr>
          <w:p>
            <w:pPr>
              <w:spacing w:line="5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检验质量（</w:t>
            </w:r>
            <w:r>
              <w:rPr>
                <w:rFonts w:eastAsia="宋体" w:cs="Times New Roman" w:asciiTheme="minorEastAsia" w:hAnsiTheme="minorEastAsia"/>
                <w:kern w:val="0"/>
                <w:szCs w:val="21"/>
              </w:rPr>
              <w:t>浓度）</w:t>
            </w:r>
          </w:p>
        </w:tc>
        <w:tc>
          <w:tcPr>
            <w:tcW w:w="4536" w:type="dxa"/>
            <w:vAlign w:val="center"/>
          </w:tcPr>
          <w:p>
            <w:pPr>
              <w:spacing w:line="540" w:lineRule="exact"/>
              <w:ind w:firstLine="420" w:firstLineChars="20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结算</w:t>
            </w:r>
            <w:r>
              <w:rPr>
                <w:rFonts w:eastAsia="宋体" w:cs="Times New Roman" w:asciiTheme="minorEastAsia" w:hAnsiTheme="minorEastAsia"/>
                <w:kern w:val="0"/>
                <w:szCs w:val="21"/>
              </w:rPr>
              <w:t>价</w:t>
            </w:r>
          </w:p>
        </w:tc>
        <w:tc>
          <w:tcPr>
            <w:tcW w:w="1134" w:type="dxa"/>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31%</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w:t>
            </w:r>
            <w:r>
              <w:rPr>
                <w:rFonts w:eastAsia="宋体" w:cs="Times New Roman" w:asciiTheme="minorEastAsia" w:hAnsiTheme="minorEastAsia"/>
                <w:kern w:val="0"/>
                <w:szCs w:val="21"/>
              </w:rPr>
              <w:t>合同价</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31%</w:t>
            </w: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该批次金额的10%</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浓度</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28%</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该批次金额的2</w:t>
            </w:r>
            <w:r>
              <w:rPr>
                <w:rFonts w:hint="eastAsia" w:eastAsia="宋体" w:cs="Times New Roman" w:asciiTheme="minorEastAsia" w:hAnsiTheme="minorEastAsia"/>
                <w:kern w:val="0"/>
                <w:szCs w:val="21"/>
              </w:rPr>
              <w:t>0</w:t>
            </w:r>
            <w:r>
              <w:rPr>
                <w:rFonts w:eastAsia="宋体" w:cs="Times New Roman" w:asciiTheme="minorEastAsia" w:hAnsiTheme="minorEastAsia"/>
                <w:kern w:val="0"/>
                <w:szCs w:val="21"/>
              </w:rPr>
              <w:t>%</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浓度＜28</w:t>
            </w:r>
            <w:r>
              <w:rPr>
                <w:rFonts w:eastAsia="宋体" w:cs="Times New Roman" w:asciiTheme="minorEastAsia" w:hAnsiTheme="minorEastAsia"/>
                <w:kern w:val="0"/>
                <w:szCs w:val="21"/>
              </w:rPr>
              <w:t>%</w:t>
            </w:r>
          </w:p>
        </w:tc>
        <w:tc>
          <w:tcPr>
            <w:tcW w:w="4536" w:type="dxa"/>
            <w:vAlign w:val="center"/>
          </w:tcPr>
          <w:p>
            <w:pPr>
              <w:spacing w:line="276" w:lineRule="auto"/>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需方将无偿使用该批次产品或有权要求供方退换该批次全部产品，因此造成的损失由供方负责。</w:t>
            </w:r>
          </w:p>
        </w:tc>
        <w:tc>
          <w:tcPr>
            <w:tcW w:w="1134" w:type="dxa"/>
          </w:tcPr>
          <w:p>
            <w:pPr>
              <w:spacing w:line="276" w:lineRule="auto"/>
              <w:ind w:firstLine="400" w:firstLineChars="200"/>
              <w:rPr>
                <w:rFonts w:eastAsia="宋体" w:cs="Times New Roman" w:asciiTheme="minorEastAsia" w:hAnsiTheme="minorEastAsia"/>
                <w:kern w:val="0"/>
                <w:sz w:val="20"/>
                <w:szCs w:val="21"/>
              </w:rPr>
            </w:pPr>
          </w:p>
        </w:tc>
      </w:tr>
    </w:tbl>
    <w:p>
      <w:pPr>
        <w:spacing w:line="520" w:lineRule="exact"/>
        <w:ind w:firstLine="420" w:firstLineChars="200"/>
        <w:rPr>
          <w:rFonts w:asciiTheme="minorEastAsia" w:hAnsiTheme="minorEastAsia"/>
          <w:szCs w:val="21"/>
        </w:rPr>
      </w:pPr>
      <w:r>
        <w:rPr>
          <w:rFonts w:hint="eastAsia" w:asciiTheme="minorEastAsia" w:hAnsiTheme="minorEastAsia"/>
          <w:szCs w:val="21"/>
        </w:rPr>
        <w:t>六、合同履约金、质保期：</w:t>
      </w:r>
    </w:p>
    <w:p>
      <w:pPr>
        <w:spacing w:line="52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Theme="minorEastAsia" w:hAnsiTheme="minorEastAsia"/>
          <w:color w:val="FF0000"/>
          <w:szCs w:val="21"/>
        </w:rPr>
        <w:t>供方在收到成交通知书后三个工作日内向需方账户缴存</w:t>
      </w:r>
      <w:r>
        <w:rPr>
          <w:rFonts w:hint="eastAsia" w:asciiTheme="minorEastAsia" w:hAnsiTheme="minorEastAsia"/>
          <w:color w:val="FF0000"/>
          <w:szCs w:val="21"/>
          <w:lang w:val="en-US" w:eastAsia="zh-CN"/>
        </w:rPr>
        <w:t>合同总价的5%</w:t>
      </w:r>
      <w:r>
        <w:rPr>
          <w:rFonts w:hint="eastAsia" w:asciiTheme="minorEastAsia" w:hAnsiTheme="minorEastAsia"/>
          <w:color w:val="FF0000"/>
          <w:szCs w:val="21"/>
        </w:rPr>
        <w:t>作为合同履约金</w:t>
      </w:r>
      <w:r>
        <w:rPr>
          <w:rFonts w:hint="eastAsia" w:asciiTheme="minorEastAsia" w:hAnsiTheme="minorEastAsia"/>
          <w:color w:val="FF0000"/>
          <w:szCs w:val="21"/>
          <w:lang w:eastAsia="zh-CN"/>
        </w:rPr>
        <w:t>。</w:t>
      </w:r>
      <w:r>
        <w:rPr>
          <w:rFonts w:hint="eastAsia" w:asciiTheme="minorEastAsia" w:hAnsiTheme="minorEastAsia"/>
          <w:color w:val="FF0000"/>
          <w:szCs w:val="21"/>
        </w:rPr>
        <w:t>质保期至2026年</w:t>
      </w:r>
      <w:r>
        <w:rPr>
          <w:rFonts w:hint="eastAsia" w:asciiTheme="minorEastAsia" w:hAnsiTheme="minorEastAsia"/>
          <w:color w:val="FF0000"/>
          <w:szCs w:val="21"/>
          <w:lang w:val="en-US" w:eastAsia="zh-CN"/>
        </w:rPr>
        <w:t>7</w:t>
      </w:r>
      <w:r>
        <w:rPr>
          <w:rFonts w:hint="eastAsia" w:asciiTheme="minorEastAsia" w:hAnsiTheme="minorEastAsia"/>
          <w:color w:val="FF0000"/>
          <w:szCs w:val="21"/>
        </w:rPr>
        <w:t>月10日。</w:t>
      </w:r>
    </w:p>
    <w:p>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520" w:lineRule="exact"/>
        <w:ind w:firstLine="420" w:firstLineChars="200"/>
        <w:rPr>
          <w:rFonts w:asciiTheme="minorEastAsia" w:hAnsiTheme="minorEastAsia"/>
          <w:bCs/>
          <w:szCs w:val="21"/>
        </w:rPr>
      </w:pPr>
      <w:r>
        <w:rPr>
          <w:rFonts w:hint="eastAsia" w:asciiTheme="minorEastAsia" w:hAnsiTheme="minorEastAsia"/>
          <w:bCs/>
          <w:szCs w:val="21"/>
        </w:rPr>
        <w:t>七、结算方式、时间、地点：</w:t>
      </w:r>
    </w:p>
    <w:p>
      <w:pPr>
        <w:spacing w:line="520" w:lineRule="exact"/>
        <w:ind w:firstLine="420" w:firstLineChars="200"/>
        <w:rPr>
          <w:rFonts w:asciiTheme="minorEastAsia" w:hAnsiTheme="minorEastAsia"/>
          <w:szCs w:val="21"/>
        </w:rPr>
      </w:pPr>
      <w:r>
        <w:rPr>
          <w:rFonts w:hint="eastAsia" w:asciiTheme="minorEastAsia" w:hAnsiTheme="minorEastAsia"/>
          <w:szCs w:val="21"/>
        </w:rPr>
        <w:t>1、货到付款，</w:t>
      </w:r>
    </w:p>
    <w:p>
      <w:pPr>
        <w:spacing w:line="520" w:lineRule="exact"/>
        <w:ind w:firstLine="420" w:firstLineChars="200"/>
        <w:rPr>
          <w:rFonts w:asciiTheme="minorEastAsia" w:hAnsiTheme="minorEastAsia"/>
          <w:szCs w:val="21"/>
        </w:rPr>
      </w:pPr>
      <w:r>
        <w:rPr>
          <w:rFonts w:hint="eastAsia" w:asciiTheme="minorEastAsia" w:hAnsiTheme="minorEastAsia"/>
          <w:szCs w:val="21"/>
        </w:rPr>
        <w:t>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13%</w:t>
      </w:r>
      <w:r>
        <w:rPr>
          <w:rFonts w:hint="eastAsia" w:asciiTheme="minorEastAsia" w:hAnsiTheme="minorEastAsia"/>
          <w:szCs w:val="21"/>
        </w:rPr>
        <w:t>增值税全额专用发票给需方，供方开具电子发票时，备注栏需备注供方银行账号和开户行等信息，并发送需方要求的版本电子档给需方存档，需方在书面核实无误后在收到发票15个工作日内支付相应款项。</w:t>
      </w:r>
    </w:p>
    <w:p>
      <w:pPr>
        <w:spacing w:line="520" w:lineRule="exact"/>
        <w:ind w:firstLine="420" w:firstLineChars="200"/>
        <w:rPr>
          <w:rFonts w:asciiTheme="minorEastAsia" w:hAnsiTheme="minorEastAsia"/>
          <w:szCs w:val="21"/>
        </w:rPr>
      </w:pPr>
      <w:r>
        <w:rPr>
          <w:rFonts w:hint="eastAsia" w:asciiTheme="minorEastAsia" w:hAnsiTheme="minorEastAsia"/>
          <w:szCs w:val="21"/>
        </w:rPr>
        <w:t>2、若在合同期内增值税率发生调整，含税单价需做相应调整。</w:t>
      </w:r>
    </w:p>
    <w:p>
      <w:pPr>
        <w:spacing w:line="520" w:lineRule="exact"/>
        <w:ind w:firstLine="420" w:firstLineChars="200"/>
        <w:rPr>
          <w:rFonts w:asciiTheme="minorEastAsia" w:hAnsiTheme="minorEastAsia"/>
          <w:szCs w:val="21"/>
        </w:rPr>
      </w:pPr>
      <w:r>
        <w:rPr>
          <w:rFonts w:hint="eastAsia" w:ascii="宋体" w:hAnsi="宋体"/>
          <w:szCs w:val="21"/>
        </w:rPr>
        <w:t>3、在合同期内供货数量以实际供应量结算，总数量不得超过合同签订数量80吨。</w:t>
      </w:r>
    </w:p>
    <w:p>
      <w:pPr>
        <w:pStyle w:val="11"/>
        <w:ind w:firstLine="420" w:firstLineChars="200"/>
        <w:rPr>
          <w:rFonts w:asciiTheme="minorEastAsia" w:hAnsiTheme="minorEastAsia"/>
          <w:bCs/>
          <w:szCs w:val="21"/>
        </w:rPr>
      </w:pPr>
      <w:r>
        <w:rPr>
          <w:rFonts w:hint="eastAsia" w:asciiTheme="minorEastAsia" w:hAnsiTheme="minorEastAsia"/>
          <w:szCs w:val="21"/>
        </w:rPr>
        <w:t xml:space="preserve"> 八、</w:t>
      </w:r>
      <w:r>
        <w:rPr>
          <w:rFonts w:hint="eastAsia" w:asciiTheme="minorEastAsia" w:hAnsiTheme="minorEastAsia"/>
          <w:bCs/>
          <w:szCs w:val="21"/>
        </w:rPr>
        <w:t>违约责任：</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pPr>
        <w:spacing w:line="520" w:lineRule="exact"/>
        <w:ind w:firstLine="420" w:firstLineChars="200"/>
        <w:rPr>
          <w:rFonts w:ascii="宋体" w:hAnsi="宋体"/>
          <w:szCs w:val="21"/>
        </w:rPr>
      </w:pPr>
      <w:r>
        <w:rPr>
          <w:rFonts w:hint="eastAsia" w:ascii="宋体" w:hAnsi="宋体"/>
          <w:szCs w:val="21"/>
        </w:rPr>
        <w:t>九、厂区道路运输及装卸安全</w:t>
      </w:r>
    </w:p>
    <w:p>
      <w:pPr>
        <w:spacing w:line="520" w:lineRule="exact"/>
        <w:ind w:firstLine="420" w:firstLineChars="200"/>
        <w:rPr>
          <w:rFonts w:ascii="宋体" w:hAnsi="宋体"/>
          <w:szCs w:val="21"/>
        </w:rPr>
      </w:pPr>
      <w:r>
        <w:rPr>
          <w:rFonts w:hint="eastAsia" w:ascii="宋体" w:hAnsi="宋体"/>
          <w:szCs w:val="21"/>
        </w:rPr>
        <w:t>根据《危险化学品道路运输管理办法》第九、十、十一、十二、十三、十四、十五条的规定：</w:t>
      </w:r>
    </w:p>
    <w:p>
      <w:pPr>
        <w:spacing w:line="520" w:lineRule="exact"/>
        <w:ind w:firstLine="420" w:firstLineChars="200"/>
        <w:rPr>
          <w:rFonts w:ascii="宋体" w:hAnsi="宋体"/>
          <w:szCs w:val="21"/>
        </w:rPr>
      </w:pPr>
      <w:r>
        <w:rPr>
          <w:rFonts w:hint="eastAsia" w:ascii="宋体" w:hAnsi="宋体"/>
          <w:szCs w:val="21"/>
        </w:rPr>
        <w:t>1、危险化学品道路运输企业应取得道路运输管理机构颁发的危险货物道路运输许可，并向工商行政管理部门办理登记手续。</w:t>
      </w:r>
    </w:p>
    <w:p>
      <w:pPr>
        <w:spacing w:line="520" w:lineRule="exact"/>
        <w:ind w:firstLine="420" w:firstLineChars="200"/>
        <w:rPr>
          <w:rFonts w:ascii="宋体" w:hAnsi="宋体"/>
          <w:szCs w:val="21"/>
        </w:rPr>
      </w:pPr>
      <w:r>
        <w:rPr>
          <w:rFonts w:hint="eastAsia" w:ascii="宋体" w:hAnsi="宋体"/>
          <w:szCs w:val="21"/>
        </w:rPr>
        <w:t>2、危险化学品运输车辆应当依法取得道路运输管理机构颁发的《道路运输证》，并在经营范围内注明危险化学品类别、品名，且运输车辆应满足国家相关规范要求，并定期做好维护、保养工作。</w:t>
      </w:r>
    </w:p>
    <w:p>
      <w:pPr>
        <w:spacing w:line="520" w:lineRule="exact"/>
        <w:ind w:firstLine="420" w:firstLineChars="200"/>
        <w:rPr>
          <w:rFonts w:ascii="宋体" w:hAnsi="宋体"/>
          <w:szCs w:val="21"/>
        </w:rPr>
      </w:pPr>
      <w:r>
        <w:rPr>
          <w:rFonts w:hint="eastAsia" w:ascii="宋体" w:hAnsi="宋体"/>
          <w:szCs w:val="21"/>
        </w:rPr>
        <w:t>3、车辆驾驶人员应取得相应车辆驾驶证，并经考试取得从业资格证；押运员也应取得从业资格证；同时驾驶人员、押运人员应熟悉危险化学品的特性及应急处置方法。</w:t>
      </w:r>
    </w:p>
    <w:p>
      <w:pPr>
        <w:spacing w:line="520" w:lineRule="exact"/>
        <w:ind w:firstLine="420" w:firstLineChars="200"/>
        <w:rPr>
          <w:rFonts w:ascii="宋体" w:hAnsi="宋体"/>
          <w:szCs w:val="21"/>
        </w:rPr>
      </w:pPr>
      <w:r>
        <w:rPr>
          <w:rFonts w:hint="eastAsia" w:ascii="宋体" w:hAnsi="宋体"/>
          <w:szCs w:val="21"/>
        </w:rPr>
        <w:t>4、危险化学品道路运输时应按规定配备充足、合格的驾驶人员及押运人员。</w:t>
      </w:r>
    </w:p>
    <w:p>
      <w:pPr>
        <w:spacing w:line="520" w:lineRule="exact"/>
        <w:ind w:firstLine="420" w:firstLineChars="200"/>
        <w:rPr>
          <w:rFonts w:ascii="宋体" w:hAnsi="宋体"/>
          <w:szCs w:val="21"/>
        </w:rPr>
      </w:pPr>
      <w:r>
        <w:rPr>
          <w:rFonts w:hint="eastAsia" w:ascii="宋体" w:hAnsi="宋体"/>
          <w:szCs w:val="21"/>
        </w:rPr>
        <w:t>5、危险化学品的道路运输企业应落实主体责任，加强运输车辆及设施、设备的维护、管理，及时排查并消除安全隐患。</w:t>
      </w:r>
    </w:p>
    <w:p>
      <w:pPr>
        <w:spacing w:line="360" w:lineRule="auto"/>
        <w:ind w:firstLine="420" w:firstLineChars="200"/>
        <w:jc w:val="left"/>
        <w:rPr>
          <w:rFonts w:ascii="宋体" w:hAnsi="宋体"/>
          <w:color w:val="FF0000"/>
          <w:szCs w:val="21"/>
        </w:rPr>
      </w:pPr>
      <w:r>
        <w:rPr>
          <w:rFonts w:hint="eastAsia" w:ascii="宋体" w:hAnsi="宋体"/>
          <w:szCs w:val="21"/>
        </w:rPr>
        <w:t>十、供方进入生产区域应遵守客户安全生产管理规定，车辆应按规定路线行驶，进入不得随意进入与本次生产（送货）无关的区域，进入厂区人员必须按国家有关规定，按规定为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，作业时所有设备应接地。</w:t>
      </w:r>
      <w:r>
        <w:rPr>
          <w:rFonts w:hint="eastAsia" w:ascii="宋体" w:hAnsi="宋体"/>
          <w:szCs w:val="21"/>
        </w:rPr>
        <w:t>如因供方人员违规操作或疏忽等原因照成等损失由供方负责赔偿。</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000元且需方单方面解除合同，款项将从单期货款中扣除。</w:t>
      </w:r>
    </w:p>
    <w:p>
      <w:pPr>
        <w:spacing w:line="520" w:lineRule="exact"/>
        <w:ind w:firstLine="420" w:firstLineChars="200"/>
        <w:rPr>
          <w:rFonts w:asciiTheme="minorEastAsia" w:hAnsiTheme="minorEastAsia"/>
          <w:szCs w:val="21"/>
        </w:rPr>
      </w:pP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spacing w:line="520" w:lineRule="exact"/>
        <w:rPr>
          <w:rStyle w:val="34"/>
          <w:rFonts w:asciiTheme="minorEastAsia" w:hAnsiTheme="minorEastAsia"/>
          <w:b w:val="0"/>
          <w:sz w:val="21"/>
          <w:szCs w:val="21"/>
        </w:rPr>
      </w:pPr>
      <w:r>
        <w:rPr>
          <w:rFonts w:hint="eastAsia" w:asciiTheme="minorEastAsia" w:hAnsiTheme="minorEastAsia"/>
          <w:szCs w:val="21"/>
        </w:rPr>
        <w:t>十一</w:t>
      </w:r>
      <w:r>
        <w:rPr>
          <w:rFonts w:asciiTheme="minorEastAsia" w:hAnsiTheme="minorEastAsia"/>
          <w:szCs w:val="21"/>
        </w:rPr>
        <w:t>、</w:t>
      </w:r>
      <w:r>
        <w:rPr>
          <w:rFonts w:hint="eastAsia" w:asciiTheme="minorEastAsia" w:hAnsiTheme="minorEastAsia"/>
          <w:bCs/>
          <w:szCs w:val="21"/>
        </w:rPr>
        <w:t>合同争议的解决方式：</w:t>
      </w:r>
      <w:r>
        <w:rPr>
          <w:rFonts w:hint="eastAsia" w:asciiTheme="minorEastAsia" w:hAnsiTheme="minorEastAsia"/>
          <w:szCs w:val="21"/>
        </w:rPr>
        <w:t>本合同在履行过程中发生的争议，由双方当事人协商解决，协商、调解不成的，</w:t>
      </w:r>
      <w:r>
        <w:rPr>
          <w:rStyle w:val="34"/>
          <w:rFonts w:hint="eastAsia" w:asciiTheme="minorEastAsia" w:hAnsiTheme="minorEastAsia"/>
          <w:sz w:val="21"/>
          <w:szCs w:val="21"/>
        </w:rPr>
        <w:t>可依法向需方所在地有管辖权的人民法院起诉。</w:t>
      </w:r>
    </w:p>
    <w:p>
      <w:pPr>
        <w:spacing w:line="520" w:lineRule="exact"/>
        <w:rPr>
          <w:rFonts w:asciiTheme="minorEastAsia" w:hAnsiTheme="minorEastAsia"/>
          <w:bCs/>
          <w:szCs w:val="21"/>
        </w:rPr>
      </w:pPr>
      <w:r>
        <w:rPr>
          <w:rFonts w:hint="eastAsia" w:asciiTheme="minorEastAsia" w:hAnsiTheme="minorEastAsia"/>
          <w:szCs w:val="21"/>
        </w:rPr>
        <w:t>十二、</w:t>
      </w:r>
      <w:r>
        <w:rPr>
          <w:rFonts w:hint="eastAsia" w:asciiTheme="minorEastAsia" w:hAnsiTheme="minorEastAsia"/>
          <w:bCs/>
          <w:szCs w:val="21"/>
        </w:rPr>
        <w:t>其他：</w:t>
      </w:r>
    </w:p>
    <w:p>
      <w:pPr>
        <w:spacing w:line="52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lang w:val="en-US" w:eastAsia="zh-CN"/>
        </w:rPr>
        <w:t>6</w:t>
      </w:r>
      <w:r>
        <w:rPr>
          <w:rFonts w:hint="eastAsia" w:asciiTheme="minorEastAsia" w:hAnsiTheme="minorEastAsia"/>
          <w:color w:val="FF0000"/>
          <w:szCs w:val="21"/>
        </w:rPr>
        <w:t>年 月 日至</w:t>
      </w:r>
      <w:r>
        <w:rPr>
          <w:rFonts w:asciiTheme="minorEastAsia" w:hAnsiTheme="minorEastAsia"/>
          <w:color w:val="FF0000"/>
          <w:szCs w:val="21"/>
        </w:rPr>
        <w:t>202</w:t>
      </w:r>
      <w:r>
        <w:rPr>
          <w:rFonts w:hint="eastAsia" w:asciiTheme="minorEastAsia" w:hAnsiTheme="minorEastAsia"/>
          <w:color w:val="FF0000"/>
          <w:szCs w:val="21"/>
          <w:lang w:val="en-US" w:eastAsia="zh-CN"/>
        </w:rPr>
        <w:t>6</w:t>
      </w:r>
      <w:r>
        <w:rPr>
          <w:rFonts w:hint="eastAsia" w:asciiTheme="minorEastAsia" w:hAnsiTheme="minorEastAsia"/>
          <w:color w:val="FF0000"/>
          <w:szCs w:val="21"/>
        </w:rPr>
        <w:t>年 月 日。</w:t>
      </w:r>
    </w:p>
    <w:p>
      <w:pPr>
        <w:spacing w:line="520" w:lineRule="exact"/>
        <w:ind w:firstLine="420" w:firstLineChars="200"/>
        <w:rPr>
          <w:rFonts w:asciiTheme="minorEastAsia" w:hAnsiTheme="minorEastAsia"/>
          <w:szCs w:val="21"/>
        </w:rPr>
      </w:pPr>
      <w:r>
        <w:rPr>
          <w:rFonts w:hint="eastAsia" w:asciiTheme="minorEastAsia" w:hAnsiTheme="minorEastAsia"/>
          <w:szCs w:val="21"/>
        </w:rPr>
        <w:t>2、本合同一式三份，需方二份，供方一份，具有同等法律效力。</w:t>
      </w:r>
    </w:p>
    <w:p>
      <w:pPr>
        <w:spacing w:line="520" w:lineRule="exact"/>
        <w:ind w:firstLine="420" w:firstLineChars="200"/>
        <w:rPr>
          <w:rFonts w:asciiTheme="minorEastAsia" w:hAnsiTheme="minorEastAsia"/>
          <w:szCs w:val="21"/>
        </w:rPr>
      </w:pPr>
      <w:r>
        <w:rPr>
          <w:rFonts w:hint="eastAsia" w:asciiTheme="minorEastAsia" w:hAnsiTheme="minorEastAsia"/>
          <w:szCs w:val="21"/>
        </w:rPr>
        <w:t>3、本合同经双方加盖公章或合同专用章及法定代表人的签章（或持有法定代表人开具的授权委托书或其他有效的授权证明，授权证明为合同附件）即合同生效。</w:t>
      </w:r>
    </w:p>
    <w:p>
      <w:pPr>
        <w:spacing w:line="520" w:lineRule="exact"/>
        <w:ind w:firstLine="420" w:firstLineChars="200"/>
        <w:rPr>
          <w:rFonts w:asciiTheme="minorEastAsia" w:hAnsiTheme="minorEastAsia"/>
          <w:szCs w:val="21"/>
        </w:rPr>
      </w:pPr>
    </w:p>
    <w:p>
      <w:pPr>
        <w:spacing w:line="520" w:lineRule="exact"/>
        <w:ind w:firstLine="420" w:firstLineChars="200"/>
        <w:rPr>
          <w:rFonts w:asciiTheme="minorEastAsia" w:hAnsiTheme="minorEastAsia"/>
          <w:szCs w:val="21"/>
        </w:rPr>
      </w:pPr>
    </w:p>
    <w:tbl>
      <w:tblPr>
        <w:tblStyle w:val="18"/>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4004" w:type="dxa"/>
          </w:tcPr>
          <w:p>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地址：</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p>
          <w:p>
            <w:pPr>
              <w:spacing w:line="360" w:lineRule="auto"/>
              <w:rPr>
                <w:rFonts w:asciiTheme="minorEastAsia" w:hAnsiTheme="minorEastAsia"/>
                <w:szCs w:val="21"/>
              </w:rPr>
            </w:pPr>
            <w:r>
              <w:rPr>
                <w:rFonts w:hint="eastAsia" w:asciiTheme="minorEastAsia" w:hAnsiTheme="minorEastAsia"/>
                <w:szCs w:val="21"/>
              </w:rPr>
              <w:t>开户银行：</w:t>
            </w:r>
          </w:p>
          <w:p>
            <w:pPr>
              <w:spacing w:line="360" w:lineRule="auto"/>
              <w:rPr>
                <w:rFonts w:asciiTheme="minorEastAsia" w:hAnsiTheme="minorEastAsia"/>
                <w:szCs w:val="21"/>
              </w:rPr>
            </w:pPr>
            <w:r>
              <w:rPr>
                <w:rFonts w:hint="eastAsia" w:asciiTheme="minorEastAsia" w:hAnsiTheme="minorEastAsia"/>
                <w:szCs w:val="21"/>
              </w:rPr>
              <w:t>账号：</w:t>
            </w:r>
          </w:p>
          <w:p>
            <w:pPr>
              <w:spacing w:line="360" w:lineRule="auto"/>
              <w:rPr>
                <w:rFonts w:asciiTheme="minorEastAsia" w:hAnsiTheme="minorEastAsia"/>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需方：厦门同集热电有限公司    </w:t>
            </w:r>
          </w:p>
          <w:p>
            <w:pPr>
              <w:spacing w:line="520" w:lineRule="exact"/>
              <w:ind w:firstLine="420" w:firstLineChars="200"/>
              <w:rPr>
                <w:rFonts w:asciiTheme="minorEastAsia" w:hAnsiTheme="minorEastAsia"/>
                <w:szCs w:val="21"/>
              </w:rPr>
            </w:pPr>
            <w:r>
              <w:rPr>
                <w:rFonts w:hint="eastAsia" w:asciiTheme="minorEastAsia" w:hAnsiTheme="minorEastAsia"/>
                <w:szCs w:val="21"/>
              </w:rPr>
              <w:t>单位地址：厦门市同安区美禾三路399号</w:t>
            </w:r>
          </w:p>
          <w:p>
            <w:pPr>
              <w:spacing w:line="520" w:lineRule="exact"/>
              <w:ind w:firstLine="420" w:firstLineChars="200"/>
              <w:rPr>
                <w:rFonts w:asciiTheme="minorEastAsia" w:hAnsiTheme="minorEastAsia"/>
                <w:szCs w:val="21"/>
              </w:rPr>
            </w:pPr>
            <w:r>
              <w:rPr>
                <w:rFonts w:hint="eastAsia" w:asciiTheme="minorEastAsia" w:hAnsiTheme="minorEastAsia"/>
                <w:szCs w:val="21"/>
              </w:rPr>
              <w:t>法定代表人：</w:t>
            </w:r>
          </w:p>
          <w:p>
            <w:pPr>
              <w:spacing w:line="520" w:lineRule="exact"/>
              <w:ind w:firstLine="420" w:firstLineChars="200"/>
              <w:rPr>
                <w:rFonts w:asciiTheme="minorEastAsia" w:hAnsiTheme="minorEastAsia"/>
                <w:szCs w:val="21"/>
              </w:rPr>
            </w:pPr>
            <w:r>
              <w:rPr>
                <w:rFonts w:hint="eastAsia" w:asciiTheme="minorEastAsia" w:hAnsiTheme="minorEastAsia"/>
                <w:szCs w:val="21"/>
              </w:rPr>
              <w:t>经办人：</w:t>
            </w:r>
          </w:p>
          <w:p>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开户银行： </w:t>
            </w:r>
          </w:p>
          <w:p>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账号： </w:t>
            </w:r>
          </w:p>
          <w:p>
            <w:pPr>
              <w:spacing w:line="520" w:lineRule="exact"/>
              <w:ind w:firstLine="420" w:firstLineChars="200"/>
              <w:rPr>
                <w:rFonts w:asciiTheme="minorEastAsia" w:hAnsiTheme="minorEastAsia"/>
                <w:szCs w:val="21"/>
              </w:rPr>
            </w:pPr>
            <w:r>
              <w:rPr>
                <w:rFonts w:hint="eastAsia" w:asciiTheme="minorEastAsia" w:hAnsiTheme="minorEastAsia"/>
                <w:szCs w:val="21"/>
              </w:rPr>
              <w:t>电话：0592-7396297</w:t>
            </w:r>
          </w:p>
          <w:p>
            <w:pPr>
              <w:spacing w:line="520" w:lineRule="exact"/>
              <w:ind w:firstLine="420" w:firstLineChars="200"/>
              <w:rPr>
                <w:rFonts w:asciiTheme="minorEastAsia" w:hAnsiTheme="minorEastAsia" w:eastAsiaTheme="majorEastAsia"/>
                <w:szCs w:val="21"/>
              </w:rPr>
            </w:pPr>
            <w:r>
              <w:rPr>
                <w:rFonts w:hint="eastAsia" w:asciiTheme="minorEastAsia" w:hAnsiTheme="minorEastAsia"/>
                <w:szCs w:val="21"/>
              </w:rPr>
              <w:t>传真：0592-7396297</w:t>
            </w:r>
          </w:p>
        </w:tc>
      </w:tr>
    </w:tbl>
    <w:p>
      <w:pPr>
        <w:spacing w:line="276" w:lineRule="auto"/>
        <w:rPr>
          <w:rFonts w:asciiTheme="minorEastAsia" w:hAnsiTheme="minorEastAsia"/>
          <w:sz w:val="24"/>
        </w:rPr>
      </w:pPr>
    </w:p>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50" w:name="_Toc30894"/>
      <w:bookmarkStart w:id="51" w:name="_Toc3580"/>
      <w:bookmarkStart w:id="52" w:name="_Toc28305"/>
      <w:r>
        <w:rPr>
          <w:rFonts w:hint="eastAsia" w:ascii="宋体" w:hAnsi="宋体"/>
          <w:b/>
          <w:sz w:val="44"/>
          <w:szCs w:val="44"/>
        </w:rPr>
        <w:t xml:space="preserve"> 盐酸采购项目</w:t>
      </w:r>
    </w:p>
    <w:bookmarkEnd w:id="50"/>
    <w:bookmarkEnd w:id="51"/>
    <w:bookmarkEnd w:id="52"/>
    <w:p>
      <w:pPr>
        <w:spacing w:line="360" w:lineRule="auto"/>
        <w:jc w:val="center"/>
        <w:outlineLvl w:val="0"/>
        <w:rPr>
          <w:rFonts w:hint="default" w:ascii="宋体" w:hAnsi="宋体" w:eastAsiaTheme="minorEastAsia"/>
          <w:b/>
          <w:sz w:val="44"/>
          <w:szCs w:val="44"/>
          <w:lang w:val="en-US" w:eastAsia="zh-CN"/>
        </w:rPr>
      </w:pPr>
      <w:r>
        <w:rPr>
          <w:rFonts w:hint="eastAsia" w:ascii="宋体" w:hAnsi="宋体"/>
          <w:b/>
          <w:sz w:val="44"/>
          <w:szCs w:val="44"/>
        </w:rPr>
        <w:t>报价文件</w:t>
      </w:r>
      <w:r>
        <w:rPr>
          <w:rFonts w:hint="eastAsia" w:ascii="宋体" w:hAnsi="宋体"/>
          <w:b/>
          <w:sz w:val="44"/>
          <w:szCs w:val="44"/>
          <w:lang w:eastAsia="zh-CN"/>
        </w:rPr>
        <w:t>（</w:t>
      </w:r>
      <w:r>
        <w:rPr>
          <w:rFonts w:hint="eastAsia" w:ascii="宋体" w:hAnsi="宋体"/>
          <w:b/>
          <w:sz w:val="44"/>
          <w:szCs w:val="44"/>
          <w:lang w:val="en-US" w:eastAsia="zh-CN"/>
        </w:rPr>
        <w:t>二次）</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3" w:name="_Toc27454"/>
      <w:bookmarkStart w:id="54" w:name="_Toc31210"/>
      <w:bookmarkStart w:id="55" w:name="_Toc12676"/>
      <w:bookmarkStart w:id="56" w:name="_Toc10610"/>
      <w:bookmarkStart w:id="57" w:name="_Toc26010"/>
      <w:r>
        <w:rPr>
          <w:rFonts w:hint="eastAsia" w:ascii="宋体" w:hAnsi="宋体"/>
          <w:b/>
          <w:bCs/>
          <w:sz w:val="30"/>
          <w:szCs w:val="30"/>
        </w:rPr>
        <w:t>报价单位：</w:t>
      </w:r>
      <w:r>
        <w:rPr>
          <w:rFonts w:hint="eastAsia" w:ascii="宋体" w:hAnsi="宋体"/>
          <w:b/>
          <w:bCs/>
          <w:sz w:val="30"/>
          <w:szCs w:val="30"/>
          <w:u w:val="single"/>
        </w:rPr>
        <w:t xml:space="preserve">                           （盖公章）</w:t>
      </w:r>
      <w:bookmarkEnd w:id="53"/>
      <w:bookmarkEnd w:id="54"/>
      <w:bookmarkEnd w:id="55"/>
      <w:bookmarkEnd w:id="56"/>
      <w:bookmarkEnd w:id="57"/>
    </w:p>
    <w:p>
      <w:pPr>
        <w:spacing w:before="156" w:beforeLines="50" w:line="400" w:lineRule="atLeast"/>
        <w:ind w:firstLine="602" w:firstLineChars="200"/>
        <w:jc w:val="left"/>
        <w:outlineLvl w:val="0"/>
        <w:rPr>
          <w:rFonts w:ascii="宋体" w:hAnsi="宋体"/>
          <w:b/>
          <w:bCs/>
          <w:sz w:val="30"/>
          <w:szCs w:val="30"/>
          <w:u w:val="single"/>
        </w:rPr>
      </w:pPr>
      <w:bookmarkStart w:id="58" w:name="_Toc28416"/>
      <w:bookmarkStart w:id="59" w:name="_Toc16600"/>
      <w:bookmarkStart w:id="60" w:name="_Toc22504"/>
      <w:bookmarkStart w:id="61" w:name="_Toc26421"/>
      <w:bookmarkStart w:id="62" w:name="_Toc2110"/>
      <w:r>
        <w:rPr>
          <w:rFonts w:hint="eastAsia" w:ascii="宋体" w:hAnsi="宋体"/>
          <w:b/>
          <w:bCs/>
          <w:sz w:val="30"/>
          <w:szCs w:val="30"/>
        </w:rPr>
        <w:t>法定代表人或其委托代理人：</w:t>
      </w:r>
      <w:bookmarkEnd w:id="58"/>
      <w:bookmarkEnd w:id="59"/>
      <w:bookmarkEnd w:id="60"/>
      <w:bookmarkEnd w:id="61"/>
      <w:bookmarkEnd w:id="62"/>
    </w:p>
    <w:p>
      <w:pPr>
        <w:spacing w:before="156" w:beforeLines="50" w:line="400" w:lineRule="atLeast"/>
        <w:ind w:firstLine="562" w:firstLineChars="200"/>
        <w:outlineLvl w:val="0"/>
        <w:rPr>
          <w:rFonts w:ascii="宋体" w:hAnsi="宋体"/>
          <w:b/>
          <w:bCs/>
          <w:sz w:val="28"/>
          <w:szCs w:val="28"/>
        </w:rPr>
      </w:pPr>
      <w:bookmarkStart w:id="63" w:name="_Toc14233"/>
      <w:bookmarkStart w:id="64" w:name="_Toc19182"/>
      <w:bookmarkStart w:id="65" w:name="_Toc7425"/>
      <w:bookmarkStart w:id="66" w:name="_Toc24026"/>
      <w:bookmarkStart w:id="67" w:name="_Toc7142"/>
      <w:r>
        <w:rPr>
          <w:rFonts w:hint="eastAsia" w:ascii="宋体" w:hAnsi="宋体"/>
          <w:b/>
          <w:bCs/>
          <w:sz w:val="28"/>
          <w:szCs w:val="28"/>
        </w:rPr>
        <w:t>报价日期：202</w:t>
      </w:r>
      <w:r>
        <w:rPr>
          <w:rFonts w:ascii="宋体" w:hAnsi="宋体"/>
          <w:b/>
          <w:bCs/>
          <w:sz w:val="28"/>
          <w:szCs w:val="28"/>
        </w:rPr>
        <w:t>5</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   日</w:t>
      </w:r>
      <w:bookmarkEnd w:id="63"/>
      <w:bookmarkEnd w:id="64"/>
      <w:bookmarkEnd w:id="65"/>
      <w:bookmarkEnd w:id="66"/>
      <w:bookmarkEnd w:id="67"/>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13090"/>
      <w:r>
        <w:rPr>
          <w:rFonts w:hint="eastAsia" w:ascii="宋体" w:hAnsi="宋体"/>
          <w:sz w:val="24"/>
          <w:szCs w:val="24"/>
        </w:rPr>
        <w:t>响应函（见附件1）；</w:t>
      </w:r>
      <w:bookmarkEnd w:id="68"/>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7762"/>
      <w:r>
        <w:rPr>
          <w:rFonts w:hint="eastAsia" w:ascii="宋体" w:hAnsi="宋体"/>
          <w:sz w:val="24"/>
          <w:szCs w:val="24"/>
        </w:rPr>
        <w:t>询价报价</w:t>
      </w:r>
      <w:r>
        <w:rPr>
          <w:rFonts w:ascii="宋体" w:hAnsi="宋体"/>
          <w:sz w:val="24"/>
          <w:szCs w:val="24"/>
        </w:rPr>
        <w:t>书</w:t>
      </w:r>
      <w:r>
        <w:rPr>
          <w:rFonts w:hint="eastAsia" w:ascii="宋体" w:hAnsi="宋体"/>
          <w:sz w:val="24"/>
          <w:szCs w:val="24"/>
        </w:rPr>
        <w:t>（见附件2）；</w:t>
      </w:r>
      <w:bookmarkEnd w:id="69"/>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70"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70"/>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71"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71"/>
    </w:p>
    <w:p>
      <w:pPr>
        <w:pStyle w:val="35"/>
        <w:numPr>
          <w:ilvl w:val="0"/>
          <w:numId w:val="12"/>
        </w:numPr>
        <w:ind w:firstLineChars="0"/>
        <w:rPr>
          <w:rFonts w:ascii="宋体" w:hAnsi="宋体"/>
          <w:sz w:val="24"/>
          <w:szCs w:val="24"/>
        </w:rPr>
      </w:pPr>
      <w:r>
        <w:rPr>
          <w:rFonts w:hint="eastAsia" w:ascii="宋体" w:hAnsi="宋体" w:cs="宋体"/>
          <w:kern w:val="0"/>
          <w:sz w:val="24"/>
          <w:szCs w:val="24"/>
        </w:rPr>
        <w:t>危险化学品经营许可证</w:t>
      </w:r>
      <w:r>
        <w:rPr>
          <w:rFonts w:hint="eastAsia" w:ascii="宋体" w:hAnsi="宋体"/>
          <w:kern w:val="0"/>
          <w:sz w:val="24"/>
          <w:szCs w:val="24"/>
        </w:rPr>
        <w:t>复印件</w:t>
      </w:r>
      <w:r>
        <w:rPr>
          <w:rFonts w:hint="eastAsia" w:ascii="宋体" w:hAnsi="宋体"/>
          <w:sz w:val="24"/>
          <w:szCs w:val="24"/>
        </w:rPr>
        <w:t>并</w:t>
      </w:r>
      <w:r>
        <w:rPr>
          <w:rFonts w:hint="eastAsia" w:ascii="宋体" w:hAnsi="宋体"/>
          <w:kern w:val="0"/>
          <w:sz w:val="24"/>
          <w:szCs w:val="24"/>
        </w:rPr>
        <w:t>加盖公章</w:t>
      </w:r>
      <w:r>
        <w:rPr>
          <w:rFonts w:hint="eastAsia" w:ascii="宋体" w:hAnsi="宋体"/>
          <w:sz w:val="24"/>
          <w:szCs w:val="24"/>
        </w:rPr>
        <w:t>（见附件6）；</w:t>
      </w:r>
    </w:p>
    <w:p>
      <w:p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 xml:space="preserve"> 7报价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7）</w:t>
      </w:r>
      <w:r>
        <w:rPr>
          <w:rFonts w:ascii="宋体" w:hAnsi="宋体"/>
          <w:sz w:val="24"/>
          <w:szCs w:val="24"/>
        </w:rPr>
        <w:t>。</w:t>
      </w:r>
    </w:p>
    <w:p>
      <w:pPr>
        <w:tabs>
          <w:tab w:val="left" w:pos="0"/>
        </w:tabs>
        <w:kinsoku w:val="0"/>
        <w:overflowPunct w:val="0"/>
        <w:snapToGrid w:val="0"/>
        <w:spacing w:line="400" w:lineRule="atLeast"/>
        <w:outlineLvl w:val="0"/>
        <w:rPr>
          <w:rFonts w:ascii="宋体" w:hAnsi="宋体"/>
          <w:sz w:val="24"/>
          <w:szCs w:val="24"/>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2" w:name="_Toc29175_WPSOffice_Level1"/>
      <w:bookmarkStart w:id="73" w:name="_Toc2425_WPSOffice_Level2"/>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7"/>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2"/>
      <w:bookmarkEnd w:id="73"/>
    </w:p>
    <w:p>
      <w:pPr>
        <w:pStyle w:val="27"/>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3"/>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 xml:space="preserve"> 盐酸</w:t>
      </w:r>
      <w:r>
        <w:rPr>
          <w:rFonts w:ascii="宋体" w:hAnsi="宋体" w:cs="宋体"/>
          <w:b/>
          <w:spacing w:val="-4"/>
          <w:sz w:val="24"/>
          <w:szCs w:val="24"/>
          <w:u w:val="single"/>
        </w:rPr>
        <w:t>采购</w:t>
      </w:r>
      <w:r>
        <w:rPr>
          <w:rFonts w:hint="eastAsia" w:ascii="宋体" w:hAnsi="宋体" w:cs="宋体"/>
          <w:spacing w:val="-4"/>
          <w:sz w:val="24"/>
          <w:szCs w:val="24"/>
        </w:rPr>
        <w:t>项目的询价文件全部内容，我方接受询价文件的所有条款，报价按附件2询价报价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我方承诺在询价文件规定的报价有效期内不修改、撤销报价文件。</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我方承诺按询价文件的规定履行合同责任和义务，并在合同约定的期限内完成。</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我方在此声明，所递交的报价文件及有关资料内容完整、真实和准确，且不存在违反询价文件规定的任何一种条款。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rPr>
        <w:t>5年</w:t>
      </w:r>
      <w:r>
        <w:rPr>
          <w:rFonts w:ascii="宋体" w:hAnsi="宋体" w:cs="宋体"/>
          <w:spacing w:val="-4"/>
          <w:sz w:val="24"/>
          <w:szCs w:val="24"/>
        </w:rPr>
        <w:t xml:space="preserve">  </w:t>
      </w:r>
      <w:r>
        <w:rPr>
          <w:rFonts w:hint="eastAsia" w:ascii="宋体" w:hAnsi="宋体" w:cs="宋体"/>
          <w:spacing w:val="-4"/>
          <w:sz w:val="24"/>
          <w:szCs w:val="24"/>
        </w:rPr>
        <w:t>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谈 判 报 价 书</w:t>
      </w:r>
    </w:p>
    <w:tbl>
      <w:tblPr>
        <w:tblStyle w:val="18"/>
        <w:tblW w:w="11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721"/>
        <w:gridCol w:w="1890"/>
        <w:gridCol w:w="1665"/>
        <w:gridCol w:w="514"/>
        <w:gridCol w:w="746"/>
        <w:gridCol w:w="514"/>
        <w:gridCol w:w="110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865" w:hRule="atLeast"/>
          <w:jc w:val="center"/>
        </w:trPr>
        <w:tc>
          <w:tcPr>
            <w:tcW w:w="1700" w:type="dxa"/>
            <w:vAlign w:val="center"/>
          </w:tcPr>
          <w:p>
            <w:pPr>
              <w:widowControl/>
              <w:spacing w:line="500" w:lineRule="exact"/>
              <w:jc w:val="center"/>
              <w:rPr>
                <w:color w:val="000000"/>
                <w:kern w:val="0"/>
                <w:sz w:val="24"/>
              </w:rPr>
            </w:pPr>
            <w:r>
              <w:rPr>
                <w:rFonts w:hint="eastAsia"/>
                <w:color w:val="000000"/>
                <w:kern w:val="0"/>
                <w:sz w:val="24"/>
              </w:rPr>
              <w:t>项目名称</w:t>
            </w:r>
          </w:p>
        </w:tc>
        <w:tc>
          <w:tcPr>
            <w:tcW w:w="2721" w:type="dxa"/>
            <w:vAlign w:val="center"/>
          </w:tcPr>
          <w:p>
            <w:pPr>
              <w:widowControl/>
              <w:spacing w:line="500" w:lineRule="exact"/>
              <w:jc w:val="center"/>
              <w:rPr>
                <w:color w:val="000000"/>
                <w:kern w:val="0"/>
                <w:sz w:val="24"/>
              </w:rPr>
            </w:pPr>
            <w:r>
              <w:rPr>
                <w:rFonts w:hint="eastAsia"/>
                <w:color w:val="000000"/>
                <w:kern w:val="0"/>
                <w:sz w:val="24"/>
              </w:rPr>
              <w:t>一票含税到厂价（元/吨）</w:t>
            </w:r>
          </w:p>
        </w:tc>
        <w:tc>
          <w:tcPr>
            <w:tcW w:w="1890" w:type="dxa"/>
            <w:vAlign w:val="center"/>
          </w:tcPr>
          <w:p>
            <w:pPr>
              <w:widowControl/>
              <w:spacing w:line="500" w:lineRule="exact"/>
              <w:rPr>
                <w:color w:val="000000"/>
                <w:kern w:val="0"/>
                <w:sz w:val="24"/>
              </w:rPr>
            </w:pPr>
            <w:r>
              <w:rPr>
                <w:rFonts w:hint="eastAsia"/>
                <w:color w:val="000000"/>
                <w:kern w:val="0"/>
                <w:sz w:val="24"/>
              </w:rPr>
              <w:t>一票含税到厂总价（元）</w:t>
            </w:r>
          </w:p>
        </w:tc>
        <w:tc>
          <w:tcPr>
            <w:tcW w:w="2179" w:type="dxa"/>
            <w:gridSpan w:val="2"/>
            <w:vAlign w:val="center"/>
          </w:tcPr>
          <w:p>
            <w:pPr>
              <w:widowControl/>
              <w:spacing w:line="500" w:lineRule="exact"/>
              <w:jc w:val="center"/>
              <w:rPr>
                <w:color w:val="000000"/>
                <w:kern w:val="0"/>
                <w:sz w:val="24"/>
              </w:rPr>
            </w:pPr>
            <w:r>
              <w:rPr>
                <w:rFonts w:hint="eastAsia"/>
                <w:color w:val="000000"/>
                <w:kern w:val="0"/>
                <w:sz w:val="24"/>
              </w:rPr>
              <w:t>数量（吨）</w:t>
            </w:r>
          </w:p>
        </w:tc>
        <w:tc>
          <w:tcPr>
            <w:tcW w:w="1260" w:type="dxa"/>
            <w:gridSpan w:val="2"/>
            <w:vAlign w:val="center"/>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1797" w:hRule="atLeast"/>
          <w:jc w:val="center"/>
        </w:trPr>
        <w:tc>
          <w:tcPr>
            <w:tcW w:w="1700" w:type="dxa"/>
            <w:vAlign w:val="center"/>
          </w:tcPr>
          <w:p>
            <w:pPr>
              <w:widowControl/>
              <w:spacing w:line="276" w:lineRule="auto"/>
              <w:jc w:val="center"/>
              <w:rPr>
                <w:rFonts w:ascii="宋体" w:hAnsi="宋体"/>
                <w:kern w:val="0"/>
                <w:sz w:val="24"/>
              </w:rPr>
            </w:pPr>
            <w:r>
              <w:rPr>
                <w:rFonts w:hint="eastAsia" w:ascii="宋体" w:hAnsi="宋体"/>
                <w:kern w:val="0"/>
                <w:sz w:val="24"/>
              </w:rPr>
              <w:t xml:space="preserve">盐酸           </w:t>
            </w:r>
          </w:p>
          <w:p>
            <w:pPr>
              <w:pStyle w:val="33"/>
              <w:spacing w:line="276" w:lineRule="auto"/>
              <w:ind w:left="330" w:leftChars="100" w:hanging="120" w:hangingChars="50"/>
              <w:jc w:val="both"/>
              <w:rPr>
                <w:color w:val="000000"/>
              </w:rPr>
            </w:pPr>
            <w:r>
              <w:rPr>
                <w:rFonts w:hint="eastAsia"/>
              </w:rPr>
              <w:t>（</w:t>
            </w:r>
            <w:r>
              <w:t>浓度</w:t>
            </w:r>
            <w:r>
              <w:rPr>
                <w:rFonts w:hint="eastAsia"/>
              </w:rPr>
              <w:t>≥31%、高纯酸）</w:t>
            </w:r>
          </w:p>
        </w:tc>
        <w:tc>
          <w:tcPr>
            <w:tcW w:w="2721" w:type="dxa"/>
            <w:vAlign w:val="center"/>
          </w:tcPr>
          <w:p>
            <w:pPr>
              <w:pStyle w:val="33"/>
              <w:jc w:val="center"/>
              <w:rPr>
                <w:color w:val="000000"/>
              </w:rPr>
            </w:pPr>
          </w:p>
        </w:tc>
        <w:tc>
          <w:tcPr>
            <w:tcW w:w="1890" w:type="dxa"/>
            <w:vAlign w:val="center"/>
          </w:tcPr>
          <w:p>
            <w:pPr>
              <w:pStyle w:val="33"/>
              <w:jc w:val="center"/>
              <w:rPr>
                <w:color w:val="000000"/>
              </w:rPr>
            </w:pPr>
          </w:p>
        </w:tc>
        <w:tc>
          <w:tcPr>
            <w:tcW w:w="2179" w:type="dxa"/>
            <w:gridSpan w:val="2"/>
            <w:vAlign w:val="center"/>
          </w:tcPr>
          <w:p>
            <w:pPr>
              <w:pStyle w:val="33"/>
              <w:jc w:val="center"/>
              <w:rPr>
                <w:color w:val="000000"/>
              </w:rPr>
            </w:pPr>
            <w:r>
              <w:rPr>
                <w:rFonts w:hint="eastAsia"/>
                <w:color w:val="000000"/>
              </w:rPr>
              <w:t>3</w:t>
            </w:r>
            <w:r>
              <w:rPr>
                <w:rFonts w:hint="eastAsia"/>
                <w:color w:val="000000"/>
                <w:lang w:val="en-US" w:eastAsia="zh-CN"/>
              </w:rPr>
              <w:t>0</w:t>
            </w:r>
            <w:r>
              <w:rPr>
                <w:rFonts w:hint="eastAsia"/>
                <w:color w:val="000000"/>
              </w:rPr>
              <w:t>0吨（新阳2</w:t>
            </w:r>
            <w:r>
              <w:rPr>
                <w:rFonts w:hint="eastAsia"/>
                <w:color w:val="000000"/>
                <w:lang w:val="en-US" w:eastAsia="zh-CN"/>
              </w:rPr>
              <w:t>2</w:t>
            </w:r>
            <w:r>
              <w:rPr>
                <w:rFonts w:hint="eastAsia"/>
                <w:color w:val="000000"/>
              </w:rPr>
              <w:t>0吨、同集80吨）</w:t>
            </w:r>
          </w:p>
        </w:tc>
        <w:tc>
          <w:tcPr>
            <w:tcW w:w="1260" w:type="dxa"/>
            <w:gridSpan w:val="2"/>
            <w:vAlign w:val="center"/>
          </w:tcPr>
          <w:p>
            <w:pPr>
              <w:pStyle w:val="33"/>
              <w:jc w:val="center"/>
              <w:rPr>
                <w:color w:val="000000"/>
              </w:rPr>
            </w:pPr>
            <w:r>
              <w:rPr>
                <w:color w:val="000000"/>
              </w:rPr>
              <w:t>含</w:t>
            </w:r>
            <w:r>
              <w:rPr>
                <w:rFonts w:hint="eastAsia"/>
                <w:color w:val="000000"/>
              </w:rPr>
              <w:t>1</w:t>
            </w:r>
            <w:r>
              <w:rPr>
                <w:color w:val="000000"/>
              </w:rPr>
              <w:t>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2224" w:hRule="atLeast"/>
          <w:jc w:val="center"/>
        </w:trPr>
        <w:tc>
          <w:tcPr>
            <w:tcW w:w="9750" w:type="dxa"/>
            <w:gridSpan w:val="7"/>
            <w:vAlign w:val="center"/>
          </w:tcPr>
          <w:p>
            <w:pPr>
              <w:widowControl/>
              <w:jc w:val="left"/>
              <w:rPr>
                <w:rFonts w:ascii="宋体" w:hAnsi="宋体" w:cs="宋体"/>
                <w:color w:val="000000"/>
                <w:kern w:val="0"/>
                <w:szCs w:val="21"/>
              </w:rPr>
            </w:pPr>
            <w:r>
              <w:rPr>
                <w:rFonts w:ascii="宋体" w:hAnsi="宋体" w:cs="宋体"/>
                <w:color w:val="000000"/>
                <w:kern w:val="0"/>
                <w:szCs w:val="21"/>
              </w:rPr>
              <w:t>说明：</w:t>
            </w:r>
          </w:p>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rPr>
              <w:t>询价保证金为人民币</w:t>
            </w:r>
            <w:r>
              <w:rPr>
                <w:rFonts w:hint="eastAsia" w:ascii="宋体" w:hAnsi="宋体" w:cs="宋体"/>
                <w:kern w:val="0"/>
                <w:sz w:val="24"/>
                <w:szCs w:val="24"/>
                <w:lang w:val="en-US" w:eastAsia="zh-CN"/>
              </w:rPr>
              <w:t>贰仟</w:t>
            </w:r>
            <w:r>
              <w:rPr>
                <w:rFonts w:hint="eastAsia" w:ascii="宋体" w:hAnsi="宋体" w:cs="宋体"/>
                <w:kern w:val="0"/>
                <w:sz w:val="24"/>
                <w:szCs w:val="24"/>
              </w:rPr>
              <w:t>元整（¥</w:t>
            </w:r>
            <w:r>
              <w:rPr>
                <w:rFonts w:hint="eastAsia" w:ascii="宋体" w:hAnsi="宋体" w:cs="宋体"/>
                <w:kern w:val="0"/>
                <w:sz w:val="24"/>
                <w:szCs w:val="24"/>
                <w:lang w:val="en-US" w:eastAsia="zh-CN"/>
              </w:rPr>
              <w:t>20</w:t>
            </w:r>
            <w:r>
              <w:rPr>
                <w:rFonts w:hint="eastAsia" w:ascii="宋体" w:hAnsi="宋体" w:cs="宋体"/>
                <w:kern w:val="0"/>
                <w:sz w:val="24"/>
                <w:szCs w:val="24"/>
              </w:rPr>
              <w:t>00.00）</w:t>
            </w:r>
            <w:r>
              <w:rPr>
                <w:rFonts w:hint="eastAsia" w:ascii="宋体" w:hAnsi="宋体" w:cs="宋体"/>
                <w:kern w:val="0"/>
                <w:szCs w:val="21"/>
              </w:rPr>
              <w:t>。</w:t>
            </w:r>
          </w:p>
          <w:p>
            <w:pPr>
              <w:pStyle w:val="33"/>
              <w:rPr>
                <w:color w:val="000000"/>
              </w:rPr>
            </w:pPr>
            <w:r>
              <w:rPr>
                <w:color w:val="000000"/>
              </w:rPr>
              <w:t>2</w:t>
            </w:r>
            <w:r>
              <w:rPr>
                <w:rFonts w:hint="eastAsia"/>
                <w:color w:val="000000"/>
              </w:rPr>
              <w:t>、若国家税率调整，含税价格须作相应调整。</w:t>
            </w:r>
          </w:p>
          <w:p>
            <w:pPr>
              <w:pStyle w:val="33"/>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p>
            <w:pPr>
              <w:pStyle w:val="33"/>
              <w:rPr>
                <w:color w:val="000000"/>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7976" w:type="dxa"/>
          <w:trHeight w:val="100" w:hRule="atLeast"/>
          <w:jc w:val="center"/>
        </w:trPr>
        <w:tc>
          <w:tcPr>
            <w:tcW w:w="1260" w:type="dxa"/>
            <w:gridSpan w:val="2"/>
          </w:tcPr>
          <w:p>
            <w:pPr>
              <w:widowControl/>
              <w:spacing w:line="500" w:lineRule="exact"/>
              <w:rPr>
                <w:rFonts w:ascii="宋体" w:hAnsi="宋体"/>
                <w:color w:val="000000"/>
                <w:kern w:val="0"/>
                <w:sz w:val="28"/>
                <w:szCs w:val="28"/>
              </w:rPr>
            </w:pPr>
          </w:p>
        </w:tc>
        <w:tc>
          <w:tcPr>
            <w:tcW w:w="1620" w:type="dxa"/>
            <w:gridSpan w:val="2"/>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widowControl/>
        <w:spacing w:line="500" w:lineRule="exact"/>
        <w:rPr>
          <w:rFonts w:ascii="宋体" w:hAnsi="宋体"/>
          <w:kern w:val="0"/>
          <w:sz w:val="28"/>
          <w:szCs w:val="28"/>
        </w:rPr>
      </w:pPr>
      <w:r>
        <w:rPr>
          <w:rFonts w:hint="eastAsia" w:ascii="宋体" w:hAnsi="宋体"/>
          <w:kern w:val="0"/>
          <w:sz w:val="28"/>
          <w:szCs w:val="28"/>
        </w:rPr>
        <w:t>报价单位：（盖公章）</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8"/>
          <w:szCs w:val="28"/>
        </w:rPr>
      </w:pPr>
      <w:r>
        <w:rPr>
          <w:rFonts w:hint="eastAsia" w:ascii="宋体" w:hAnsi="宋体" w:eastAsia="宋体" w:cs="宋体"/>
          <w:kern w:val="0"/>
          <w:sz w:val="28"/>
          <w:szCs w:val="28"/>
        </w:rPr>
        <w:t>报价日期：2025</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 xml:space="preserve">月  </w:t>
      </w:r>
      <w:r>
        <w:rPr>
          <w:rFonts w:ascii="宋体" w:hAnsi="宋体"/>
          <w:kern w:val="0"/>
          <w:sz w:val="28"/>
          <w:szCs w:val="28"/>
        </w:rPr>
        <w:t xml:space="preserve"> </w:t>
      </w:r>
      <w:r>
        <w:rPr>
          <w:rFonts w:hint="eastAsia" w:ascii="宋体" w:hAnsi="宋体"/>
          <w:kern w:val="0"/>
          <w:sz w:val="28"/>
          <w:szCs w:val="28"/>
        </w:rPr>
        <w:t>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 xml:space="preserve"> 盐酸</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rPr>
        <w:t>5</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年</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7"/>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7"/>
        <w:keepNext w:val="0"/>
        <w:keepLines w:val="0"/>
        <w:kinsoku w:val="0"/>
        <w:overflowPunct w:val="0"/>
        <w:snapToGrid w:val="0"/>
        <w:spacing w:before="0" w:after="0" w:line="240" w:lineRule="auto"/>
        <w:jc w:val="both"/>
        <w:rPr>
          <w:rFonts w:eastAsia="宋体" w:cs="宋体"/>
          <w:b w:val="0"/>
          <w:color w:val="000000"/>
          <w:sz w:val="24"/>
          <w:szCs w:val="24"/>
        </w:rPr>
      </w:pPr>
    </w:p>
    <w:p>
      <w:pPr>
        <w:pStyle w:val="27"/>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7"/>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7"/>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color w:val="FF0000"/>
          <w:sz w:val="28"/>
          <w:szCs w:val="28"/>
        </w:rPr>
      </w:pPr>
    </w:p>
    <w:p>
      <w:pPr>
        <w:rPr>
          <w:rFonts w:ascii="宋体" w:hAnsi="宋体"/>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w:t>
      </w:r>
      <w:r>
        <w:rPr>
          <w:rFonts w:hint="eastAsia" w:ascii="宋体" w:hAnsi="宋体"/>
          <w:sz w:val="28"/>
          <w:szCs w:val="28"/>
        </w:rPr>
        <w:t>并</w:t>
      </w:r>
      <w:r>
        <w:rPr>
          <w:rFonts w:hint="eastAsia" w:ascii="宋体" w:hAnsi="宋体"/>
          <w:kern w:val="0"/>
          <w:sz w:val="28"/>
          <w:szCs w:val="28"/>
        </w:rPr>
        <w:t>加盖公章。</w:t>
      </w:r>
    </w:p>
    <w:p>
      <w:pPr>
        <w:rPr>
          <w:rFonts w:ascii="宋体" w:hAnsi="宋体"/>
          <w:color w:val="FF0000"/>
          <w:sz w:val="28"/>
          <w:szCs w:val="28"/>
        </w:rPr>
      </w:pPr>
    </w:p>
    <w:p>
      <w:pPr>
        <w:rPr>
          <w:rFonts w:ascii="宋体" w:hAnsi="宋体"/>
          <w:color w:val="FF0000"/>
          <w:sz w:val="28"/>
          <w:szCs w:val="28"/>
        </w:rPr>
      </w:pPr>
      <w:r>
        <w:rPr>
          <w:rFonts w:hint="eastAsia" w:ascii="宋体" w:hAnsi="宋体"/>
          <w:color w:val="FF0000"/>
          <w:sz w:val="28"/>
          <w:szCs w:val="28"/>
        </w:rPr>
        <w:t>附件7：</w:t>
      </w:r>
    </w:p>
    <w:p>
      <w:pPr>
        <w:rPr>
          <w:rFonts w:ascii="宋体" w:hAnsi="宋体" w:eastAsia="宋体"/>
          <w:sz w:val="28"/>
          <w:szCs w:val="28"/>
        </w:rPr>
      </w:pPr>
      <w:r>
        <w:rPr>
          <w:rFonts w:hint="eastAsia" w:ascii="宋体" w:hAnsi="宋体"/>
          <w:b/>
          <w:sz w:val="36"/>
          <w:szCs w:val="36"/>
        </w:rPr>
        <w:t xml:space="preserve"> </w:t>
      </w:r>
      <w:r>
        <w:rPr>
          <w:rFonts w:hint="eastAsia" w:ascii="宋体" w:hAnsi="宋体"/>
          <w:sz w:val="28"/>
          <w:szCs w:val="28"/>
        </w:rPr>
        <w:t>报价</w:t>
      </w:r>
      <w:r>
        <w:rPr>
          <w:rFonts w:ascii="宋体" w:hAnsi="宋体"/>
          <w:sz w:val="28"/>
          <w:szCs w:val="28"/>
        </w:rPr>
        <w:t>方认为需要提供的其他资料</w:t>
      </w:r>
      <w:r>
        <w:rPr>
          <w:rFonts w:hint="eastAsia" w:ascii="宋体" w:hAnsi="宋体"/>
          <w:sz w:val="28"/>
          <w:szCs w:val="28"/>
        </w:rPr>
        <w:t>并</w:t>
      </w:r>
      <w:r>
        <w:rPr>
          <w:rFonts w:hint="eastAsia" w:ascii="宋体" w:hAnsi="宋体"/>
          <w:kern w:val="0"/>
          <w:sz w:val="28"/>
          <w:szCs w:val="28"/>
        </w:rPr>
        <w:t>加盖公章 。</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1"/>
  </w:num>
  <w:num w:numId="10">
    <w:abstractNumId w:val="7"/>
  </w:num>
  <w:num w:numId="11">
    <w:abstractNumId w:val="10"/>
  </w:num>
  <w:num w:numId="12">
    <w:abstractNumId w:val="2"/>
  </w:num>
  <w:num w:numId="13">
    <w:abstractNumId w:val="0"/>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02373760-6a40-4ede-9c27-451391b946b9"/>
  </w:docVars>
  <w:rsids>
    <w:rsidRoot w:val="003E3D3F"/>
    <w:rsid w:val="00015014"/>
    <w:rsid w:val="00033360"/>
    <w:rsid w:val="000357D4"/>
    <w:rsid w:val="00044BCD"/>
    <w:rsid w:val="00044FED"/>
    <w:rsid w:val="00050D8D"/>
    <w:rsid w:val="00052CF8"/>
    <w:rsid w:val="00053E6F"/>
    <w:rsid w:val="000830ED"/>
    <w:rsid w:val="00092A65"/>
    <w:rsid w:val="00094601"/>
    <w:rsid w:val="000A243A"/>
    <w:rsid w:val="000C132A"/>
    <w:rsid w:val="000D23B2"/>
    <w:rsid w:val="000E04D9"/>
    <w:rsid w:val="000E0533"/>
    <w:rsid w:val="000F6A8B"/>
    <w:rsid w:val="00112B27"/>
    <w:rsid w:val="00117477"/>
    <w:rsid w:val="00133D0C"/>
    <w:rsid w:val="00160687"/>
    <w:rsid w:val="00164CF9"/>
    <w:rsid w:val="00180261"/>
    <w:rsid w:val="00186D1E"/>
    <w:rsid w:val="0019046A"/>
    <w:rsid w:val="00190E48"/>
    <w:rsid w:val="001A4EC1"/>
    <w:rsid w:val="001B143F"/>
    <w:rsid w:val="001C4C0F"/>
    <w:rsid w:val="001D5161"/>
    <w:rsid w:val="001E6631"/>
    <w:rsid w:val="001E6B63"/>
    <w:rsid w:val="001E6CAF"/>
    <w:rsid w:val="001E6CBB"/>
    <w:rsid w:val="001E7F48"/>
    <w:rsid w:val="002036D8"/>
    <w:rsid w:val="00214DF9"/>
    <w:rsid w:val="00230A4C"/>
    <w:rsid w:val="002371B1"/>
    <w:rsid w:val="0024527F"/>
    <w:rsid w:val="00262D0E"/>
    <w:rsid w:val="00296EC2"/>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3640D"/>
    <w:rsid w:val="00341923"/>
    <w:rsid w:val="00346A14"/>
    <w:rsid w:val="00350970"/>
    <w:rsid w:val="00353232"/>
    <w:rsid w:val="00356F59"/>
    <w:rsid w:val="00371FD4"/>
    <w:rsid w:val="0038677E"/>
    <w:rsid w:val="00392646"/>
    <w:rsid w:val="003A705C"/>
    <w:rsid w:val="003C1CD2"/>
    <w:rsid w:val="003E3D3F"/>
    <w:rsid w:val="003E410F"/>
    <w:rsid w:val="003E7664"/>
    <w:rsid w:val="00402DF4"/>
    <w:rsid w:val="00403E53"/>
    <w:rsid w:val="00411D01"/>
    <w:rsid w:val="00416BF4"/>
    <w:rsid w:val="00427268"/>
    <w:rsid w:val="00440A98"/>
    <w:rsid w:val="00447541"/>
    <w:rsid w:val="00452D89"/>
    <w:rsid w:val="00463794"/>
    <w:rsid w:val="0046621F"/>
    <w:rsid w:val="004C0DEB"/>
    <w:rsid w:val="004C46A1"/>
    <w:rsid w:val="004D6FED"/>
    <w:rsid w:val="004E131F"/>
    <w:rsid w:val="004E6E83"/>
    <w:rsid w:val="004F1D6E"/>
    <w:rsid w:val="004F2391"/>
    <w:rsid w:val="004F2556"/>
    <w:rsid w:val="005136C5"/>
    <w:rsid w:val="0051432F"/>
    <w:rsid w:val="0052402D"/>
    <w:rsid w:val="005530F3"/>
    <w:rsid w:val="0056593C"/>
    <w:rsid w:val="00571FC3"/>
    <w:rsid w:val="005733C1"/>
    <w:rsid w:val="00591996"/>
    <w:rsid w:val="00592DF1"/>
    <w:rsid w:val="005975E6"/>
    <w:rsid w:val="00597CC3"/>
    <w:rsid w:val="005B0098"/>
    <w:rsid w:val="005B766B"/>
    <w:rsid w:val="005D639F"/>
    <w:rsid w:val="005E7164"/>
    <w:rsid w:val="00613635"/>
    <w:rsid w:val="00623387"/>
    <w:rsid w:val="00631BDF"/>
    <w:rsid w:val="00641159"/>
    <w:rsid w:val="0064342C"/>
    <w:rsid w:val="00674ED7"/>
    <w:rsid w:val="006A09AD"/>
    <w:rsid w:val="006C1777"/>
    <w:rsid w:val="006F47F4"/>
    <w:rsid w:val="0070136E"/>
    <w:rsid w:val="00701797"/>
    <w:rsid w:val="007168D6"/>
    <w:rsid w:val="00735CD2"/>
    <w:rsid w:val="00743B22"/>
    <w:rsid w:val="00754E4D"/>
    <w:rsid w:val="00760B20"/>
    <w:rsid w:val="00766589"/>
    <w:rsid w:val="00772A2E"/>
    <w:rsid w:val="00775022"/>
    <w:rsid w:val="00790D46"/>
    <w:rsid w:val="007A1322"/>
    <w:rsid w:val="007A3A4A"/>
    <w:rsid w:val="007C6434"/>
    <w:rsid w:val="007D5EDD"/>
    <w:rsid w:val="00805F52"/>
    <w:rsid w:val="0081617D"/>
    <w:rsid w:val="008506AF"/>
    <w:rsid w:val="00855D03"/>
    <w:rsid w:val="0086424F"/>
    <w:rsid w:val="00864DDC"/>
    <w:rsid w:val="00872396"/>
    <w:rsid w:val="00886013"/>
    <w:rsid w:val="00897F6E"/>
    <w:rsid w:val="008A361A"/>
    <w:rsid w:val="008B0E38"/>
    <w:rsid w:val="008C4558"/>
    <w:rsid w:val="008C4644"/>
    <w:rsid w:val="008C4D54"/>
    <w:rsid w:val="008D11F7"/>
    <w:rsid w:val="008F07D4"/>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05FDF"/>
    <w:rsid w:val="00A1352F"/>
    <w:rsid w:val="00A25DB2"/>
    <w:rsid w:val="00A3748E"/>
    <w:rsid w:val="00A43080"/>
    <w:rsid w:val="00A47714"/>
    <w:rsid w:val="00A5753B"/>
    <w:rsid w:val="00A61868"/>
    <w:rsid w:val="00A63A98"/>
    <w:rsid w:val="00A84E15"/>
    <w:rsid w:val="00AB118A"/>
    <w:rsid w:val="00AB3DE8"/>
    <w:rsid w:val="00AC045E"/>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BD62B5"/>
    <w:rsid w:val="00BE7BBD"/>
    <w:rsid w:val="00BF2BA4"/>
    <w:rsid w:val="00C00FE4"/>
    <w:rsid w:val="00C02B41"/>
    <w:rsid w:val="00C538B1"/>
    <w:rsid w:val="00C71248"/>
    <w:rsid w:val="00C777D6"/>
    <w:rsid w:val="00C847BF"/>
    <w:rsid w:val="00CB1CF9"/>
    <w:rsid w:val="00CC1D06"/>
    <w:rsid w:val="00CC3C64"/>
    <w:rsid w:val="00CD0194"/>
    <w:rsid w:val="00CE2BE3"/>
    <w:rsid w:val="00CF1813"/>
    <w:rsid w:val="00CF55FB"/>
    <w:rsid w:val="00D04156"/>
    <w:rsid w:val="00D05FE1"/>
    <w:rsid w:val="00D31227"/>
    <w:rsid w:val="00D41A71"/>
    <w:rsid w:val="00D43597"/>
    <w:rsid w:val="00D45459"/>
    <w:rsid w:val="00D513A8"/>
    <w:rsid w:val="00D516F6"/>
    <w:rsid w:val="00D55682"/>
    <w:rsid w:val="00D819C9"/>
    <w:rsid w:val="00D92F5C"/>
    <w:rsid w:val="00D94737"/>
    <w:rsid w:val="00D94F12"/>
    <w:rsid w:val="00D95B63"/>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66AA8"/>
    <w:rsid w:val="00E81F52"/>
    <w:rsid w:val="00E87188"/>
    <w:rsid w:val="00E9368E"/>
    <w:rsid w:val="00EB11B0"/>
    <w:rsid w:val="00EB45C9"/>
    <w:rsid w:val="00ED5996"/>
    <w:rsid w:val="00ED67D9"/>
    <w:rsid w:val="00ED6E3A"/>
    <w:rsid w:val="00EE173F"/>
    <w:rsid w:val="00EF427D"/>
    <w:rsid w:val="00F05622"/>
    <w:rsid w:val="00F07AD4"/>
    <w:rsid w:val="00F105D8"/>
    <w:rsid w:val="00F14845"/>
    <w:rsid w:val="00F16CF2"/>
    <w:rsid w:val="00F16E67"/>
    <w:rsid w:val="00F4257C"/>
    <w:rsid w:val="00F42D8E"/>
    <w:rsid w:val="00F51E70"/>
    <w:rsid w:val="00F57E07"/>
    <w:rsid w:val="00F610E1"/>
    <w:rsid w:val="00F648B3"/>
    <w:rsid w:val="00F672D2"/>
    <w:rsid w:val="00F80D00"/>
    <w:rsid w:val="00F81CB9"/>
    <w:rsid w:val="00F8635A"/>
    <w:rsid w:val="00F90AD2"/>
    <w:rsid w:val="00F97525"/>
    <w:rsid w:val="00FA102D"/>
    <w:rsid w:val="00FC0FEC"/>
    <w:rsid w:val="00FC107A"/>
    <w:rsid w:val="00FC1C9B"/>
    <w:rsid w:val="00FD7307"/>
    <w:rsid w:val="012D3BA2"/>
    <w:rsid w:val="03954232"/>
    <w:rsid w:val="06346A98"/>
    <w:rsid w:val="07802914"/>
    <w:rsid w:val="084566C9"/>
    <w:rsid w:val="08DD4532"/>
    <w:rsid w:val="09E65ED1"/>
    <w:rsid w:val="0C0F1C7C"/>
    <w:rsid w:val="12F004C5"/>
    <w:rsid w:val="15BD250B"/>
    <w:rsid w:val="16B40EBF"/>
    <w:rsid w:val="18C76821"/>
    <w:rsid w:val="191C04AF"/>
    <w:rsid w:val="1A8753DE"/>
    <w:rsid w:val="1A8D34FA"/>
    <w:rsid w:val="229659DB"/>
    <w:rsid w:val="243E5205"/>
    <w:rsid w:val="2804374F"/>
    <w:rsid w:val="29B21C60"/>
    <w:rsid w:val="2B5C615D"/>
    <w:rsid w:val="32885B4D"/>
    <w:rsid w:val="36A87B5F"/>
    <w:rsid w:val="378E7FA1"/>
    <w:rsid w:val="3AE76CFE"/>
    <w:rsid w:val="3F964503"/>
    <w:rsid w:val="411B2C3C"/>
    <w:rsid w:val="41894C7C"/>
    <w:rsid w:val="480C3CA9"/>
    <w:rsid w:val="4D0749BE"/>
    <w:rsid w:val="50D81749"/>
    <w:rsid w:val="513C2AB1"/>
    <w:rsid w:val="519D5CDA"/>
    <w:rsid w:val="51BB449A"/>
    <w:rsid w:val="55030648"/>
    <w:rsid w:val="5891420B"/>
    <w:rsid w:val="58DF2618"/>
    <w:rsid w:val="5B8A4040"/>
    <w:rsid w:val="5EDF3F97"/>
    <w:rsid w:val="5F0432AA"/>
    <w:rsid w:val="6A757C33"/>
    <w:rsid w:val="74C9646F"/>
    <w:rsid w:val="758E7BA2"/>
    <w:rsid w:val="79CA15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6"/>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34"/>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6">
    <w:name w:val="annotation text"/>
    <w:basedOn w:val="1"/>
    <w:link w:val="30"/>
    <w:semiHidden/>
    <w:unhideWhenUsed/>
    <w:qFormat/>
    <w:uiPriority w:val="99"/>
    <w:pPr>
      <w:jc w:val="left"/>
    </w:pPr>
  </w:style>
  <w:style w:type="paragraph" w:styleId="7">
    <w:name w:val="Body Text"/>
    <w:basedOn w:val="1"/>
    <w:next w:val="8"/>
    <w:qFormat/>
    <w:uiPriority w:val="0"/>
    <w:pPr>
      <w:spacing w:line="480" w:lineRule="atLeast"/>
      <w:ind w:right="238"/>
      <w:jc w:val="left"/>
    </w:pPr>
    <w:rPr>
      <w:rFonts w:ascii="仿宋_GB2312" w:eastAsia="仿宋_GB2312"/>
      <w:sz w:val="28"/>
    </w:rPr>
  </w:style>
  <w:style w:type="paragraph" w:customStyle="1" w:styleId="8">
    <w:name w:val="一级条标题"/>
    <w:basedOn w:val="9"/>
    <w:next w:val="10"/>
    <w:qFormat/>
    <w:uiPriority w:val="99"/>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1">
    <w:name w:val="Plain Text"/>
    <w:basedOn w:val="1"/>
    <w:qFormat/>
    <w:uiPriority w:val="99"/>
    <w:rPr>
      <w:rFonts w:ascii="宋体" w:hAnsi="Courier New"/>
    </w:rPr>
  </w:style>
  <w:style w:type="paragraph" w:styleId="12">
    <w:name w:val="Body Text Indent 2"/>
    <w:basedOn w:val="1"/>
    <w:qFormat/>
    <w:uiPriority w:val="0"/>
    <w:pPr>
      <w:spacing w:line="360" w:lineRule="auto"/>
      <w:ind w:firstLine="425"/>
      <w:jc w:val="left"/>
    </w:pPr>
    <w:rPr>
      <w:sz w:val="24"/>
    </w:rPr>
  </w:style>
  <w:style w:type="paragraph" w:styleId="13">
    <w:name w:val="Balloon Text"/>
    <w:basedOn w:val="1"/>
    <w:link w:val="32"/>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itle"/>
    <w:basedOn w:val="1"/>
    <w:next w:val="1"/>
    <w:link w:val="28"/>
    <w:qFormat/>
    <w:uiPriority w:val="0"/>
    <w:pPr>
      <w:spacing w:before="240" w:after="60"/>
      <w:jc w:val="center"/>
      <w:outlineLvl w:val="0"/>
    </w:pPr>
    <w:rPr>
      <w:rFonts w:ascii="Cambria" w:hAnsi="Cambria" w:cs="Times New Roman"/>
      <w:b/>
      <w:bCs/>
      <w:sz w:val="32"/>
      <w:szCs w:val="32"/>
    </w:rPr>
  </w:style>
  <w:style w:type="paragraph" w:styleId="17">
    <w:name w:val="annotation subject"/>
    <w:basedOn w:val="6"/>
    <w:next w:val="6"/>
    <w:link w:val="31"/>
    <w:semiHidden/>
    <w:unhideWhenUsed/>
    <w:qFormat/>
    <w:uiPriority w:val="99"/>
    <w:rPr>
      <w:b/>
      <w:bCs/>
    </w:r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5"/>
    <w:qFormat/>
    <w:uiPriority w:val="99"/>
    <w:rPr>
      <w:sz w:val="18"/>
      <w:szCs w:val="18"/>
    </w:rPr>
  </w:style>
  <w:style w:type="character" w:customStyle="1" w:styleId="25">
    <w:name w:val="页脚 Char"/>
    <w:basedOn w:val="20"/>
    <w:link w:val="14"/>
    <w:qFormat/>
    <w:uiPriority w:val="99"/>
    <w:rPr>
      <w:sz w:val="18"/>
      <w:szCs w:val="18"/>
    </w:rPr>
  </w:style>
  <w:style w:type="character" w:customStyle="1" w:styleId="26">
    <w:name w:val="标题 2 Char"/>
    <w:basedOn w:val="20"/>
    <w:link w:val="3"/>
    <w:qFormat/>
    <w:uiPriority w:val="0"/>
    <w:rPr>
      <w:rFonts w:ascii="Arial" w:hAnsi="Arial" w:eastAsia="黑体" w:cs="Times New Roman"/>
      <w:b/>
      <w:spacing w:val="10"/>
      <w:kern w:val="0"/>
      <w:sz w:val="32"/>
      <w:szCs w:val="20"/>
    </w:rPr>
  </w:style>
  <w:style w:type="paragraph" w:customStyle="1" w:styleId="27">
    <w:name w:val="标题 2 居中"/>
    <w:basedOn w:val="3"/>
    <w:qFormat/>
    <w:uiPriority w:val="0"/>
    <w:pPr>
      <w:jc w:val="center"/>
    </w:pPr>
    <w:rPr>
      <w:rFonts w:ascii="宋体" w:hAnsi="宋体"/>
    </w:rPr>
  </w:style>
  <w:style w:type="character" w:customStyle="1" w:styleId="28">
    <w:name w:val="标题 Char"/>
    <w:link w:val="16"/>
    <w:qFormat/>
    <w:uiPriority w:val="0"/>
    <w:rPr>
      <w:rFonts w:ascii="Cambria" w:hAnsi="Cambria" w:cs="Times New Roman"/>
      <w:b/>
      <w:bCs/>
      <w:sz w:val="32"/>
      <w:szCs w:val="32"/>
    </w:rPr>
  </w:style>
  <w:style w:type="character" w:customStyle="1" w:styleId="29">
    <w:name w:val="标题 Char1"/>
    <w:basedOn w:val="20"/>
    <w:qFormat/>
    <w:uiPriority w:val="10"/>
    <w:rPr>
      <w:rFonts w:eastAsia="宋体" w:asciiTheme="majorHAnsi" w:hAnsiTheme="majorHAnsi" w:cstheme="majorBidi"/>
      <w:b/>
      <w:bCs/>
      <w:sz w:val="32"/>
      <w:szCs w:val="32"/>
    </w:rPr>
  </w:style>
  <w:style w:type="character" w:customStyle="1" w:styleId="30">
    <w:name w:val="批注文字 Char"/>
    <w:basedOn w:val="20"/>
    <w:link w:val="6"/>
    <w:semiHidden/>
    <w:qFormat/>
    <w:uiPriority w:val="99"/>
  </w:style>
  <w:style w:type="character" w:customStyle="1" w:styleId="31">
    <w:name w:val="批注主题 Char"/>
    <w:basedOn w:val="30"/>
    <w:link w:val="17"/>
    <w:semiHidden/>
    <w:qFormat/>
    <w:uiPriority w:val="99"/>
    <w:rPr>
      <w:b/>
      <w:bCs/>
    </w:rPr>
  </w:style>
  <w:style w:type="character" w:customStyle="1" w:styleId="32">
    <w:name w:val="批注框文本 Char"/>
    <w:basedOn w:val="20"/>
    <w:link w:val="13"/>
    <w:semiHidden/>
    <w:qFormat/>
    <w:uiPriority w:val="99"/>
    <w:rPr>
      <w:sz w:val="18"/>
      <w:szCs w:val="18"/>
    </w:rPr>
  </w:style>
  <w:style w:type="paragraph" w:customStyle="1" w:styleId="33">
    <w:name w:val="p0"/>
    <w:basedOn w:val="1"/>
    <w:qFormat/>
    <w:uiPriority w:val="0"/>
    <w:pPr>
      <w:widowControl/>
      <w:jc w:val="left"/>
    </w:pPr>
    <w:rPr>
      <w:rFonts w:ascii="宋体" w:hAnsi="宋体" w:eastAsia="宋体" w:cs="宋体"/>
      <w:kern w:val="0"/>
      <w:sz w:val="24"/>
      <w:szCs w:val="24"/>
    </w:rPr>
  </w:style>
  <w:style w:type="character" w:customStyle="1" w:styleId="34">
    <w:name w:val="标题 3 Char"/>
    <w:basedOn w:val="20"/>
    <w:link w:val="4"/>
    <w:qFormat/>
    <w:uiPriority w:val="0"/>
    <w:rPr>
      <w:rFonts w:ascii="Times New Roman" w:hAnsi="Times New Roman" w:eastAsia="宋体" w:cs="Times New Roman"/>
      <w:b/>
      <w:bCs/>
      <w:sz w:val="32"/>
      <w:szCs w:val="32"/>
    </w:rPr>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F5949-0EAB-4E0F-9A43-C468EB8F1BFA}">
  <ds:schemaRefs/>
</ds:datastoreItem>
</file>

<file path=docProps/app.xml><?xml version="1.0" encoding="utf-8"?>
<Properties xmlns="http://schemas.openxmlformats.org/officeDocument/2006/extended-properties" xmlns:vt="http://schemas.openxmlformats.org/officeDocument/2006/docPropsVTypes">
  <Template>Normal</Template>
  <Pages>25</Pages>
  <Words>10206</Words>
  <Characters>10773</Characters>
  <Lines>469</Lines>
  <Paragraphs>456</Paragraphs>
  <TotalTime>9</TotalTime>
  <ScaleCrop>false</ScaleCrop>
  <LinksUpToDate>false</LinksUpToDate>
  <CharactersWithSpaces>11252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2021-12-07T02:09:00Z</dcterms:created>
  <dc:creator>陈焰</dc:creator>
  <cp:lastModifiedBy>Happy</cp:lastModifiedBy>
  <cp:lastPrinted>2024-05-31T00:29:00Z</cp:lastPrinted>
  <dcterms:modified xsi:type="dcterms:W3CDTF">2025-11-24T03:49:16Z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6F6071E9124F4B9AB4E9DDE250E2BB69_13</vt:lpwstr>
  </property>
  <property fmtid="{D5CDD505-2E9C-101B-9397-08002B2CF9AE}" pid="4" name="KSOTemplateDocerSaveRecord">
    <vt:lpwstr>eyJoZGlkIjoiZWJmNmRkZTU4MWY2OTJhN2UwMmEzYzJlMDU4NGQyY2YiLCJ1c2VySWQiOiIxMTMxOTc3MDA4In0=</vt:lpwstr>
  </property>
</Properties>
</file>